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28"/>
      </w:tblGrid>
      <w:tr w:rsidR="00592B61" w:rsidRPr="00592B61" w:rsidTr="00592B61">
        <w:trPr>
          <w:tblCellSpacing w:w="15" w:type="dxa"/>
        </w:trPr>
        <w:tc>
          <w:tcPr>
            <w:tcW w:w="0" w:type="auto"/>
            <w:vAlign w:val="center"/>
            <w:hideMark/>
          </w:tcPr>
          <w:p w:rsidR="00592B61" w:rsidRPr="00592B61" w:rsidRDefault="00592B61" w:rsidP="00592B61">
            <w:pPr>
              <w:spacing w:after="0" w:line="240" w:lineRule="auto"/>
              <w:rPr>
                <w:rFonts w:ascii="Times New Roman" w:eastAsia="Times New Roman" w:hAnsi="Times New Roman" w:cs="Times New Roman"/>
                <w:sz w:val="24"/>
                <w:szCs w:val="24"/>
                <w:lang w:eastAsia="it-IT"/>
              </w:rPr>
            </w:pPr>
            <w:r w:rsidRPr="00592B61">
              <w:rPr>
                <w:rFonts w:ascii="Times New Roman" w:eastAsia="Times New Roman" w:hAnsi="Times New Roman" w:cs="Times New Roman"/>
                <w:sz w:val="24"/>
                <w:szCs w:val="24"/>
                <w:lang w:eastAsia="it-IT"/>
              </w:rPr>
              <w:t>Sentenza </w:t>
            </w:r>
            <w:r w:rsidRPr="00592B61">
              <w:rPr>
                <w:rFonts w:ascii="Times New Roman" w:eastAsia="Times New Roman" w:hAnsi="Times New Roman" w:cs="Times New Roman"/>
                <w:b/>
                <w:bCs/>
                <w:sz w:val="24"/>
                <w:szCs w:val="24"/>
                <w:lang w:eastAsia="it-IT"/>
              </w:rPr>
              <w:t>27/2017</w:t>
            </w:r>
            <w:r w:rsidRPr="00592B61">
              <w:rPr>
                <w:rFonts w:ascii="Times New Roman" w:eastAsia="Times New Roman" w:hAnsi="Times New Roman" w:cs="Times New Roman"/>
                <w:sz w:val="24"/>
                <w:szCs w:val="24"/>
                <w:lang w:eastAsia="it-IT"/>
              </w:rPr>
              <w:t xml:space="preserve"> (ECLI:IT:COST:2017:27) </w:t>
            </w:r>
          </w:p>
        </w:tc>
      </w:tr>
      <w:tr w:rsidR="00592B61" w:rsidRPr="00592B61" w:rsidTr="00592B61">
        <w:trPr>
          <w:tblCellSpacing w:w="15" w:type="dxa"/>
        </w:trPr>
        <w:tc>
          <w:tcPr>
            <w:tcW w:w="0" w:type="auto"/>
            <w:vAlign w:val="center"/>
            <w:hideMark/>
          </w:tcPr>
          <w:p w:rsidR="00592B61" w:rsidRPr="00592B61" w:rsidRDefault="00592B61" w:rsidP="00592B61">
            <w:pPr>
              <w:spacing w:after="0" w:line="240" w:lineRule="auto"/>
              <w:rPr>
                <w:rFonts w:ascii="Times New Roman" w:eastAsia="Times New Roman" w:hAnsi="Times New Roman" w:cs="Times New Roman"/>
                <w:sz w:val="24"/>
                <w:szCs w:val="24"/>
                <w:lang w:eastAsia="it-IT"/>
              </w:rPr>
            </w:pPr>
            <w:r w:rsidRPr="00592B61">
              <w:rPr>
                <w:rFonts w:ascii="Times New Roman" w:eastAsia="Times New Roman" w:hAnsi="Times New Roman" w:cs="Times New Roman"/>
                <w:sz w:val="24"/>
                <w:szCs w:val="24"/>
                <w:lang w:eastAsia="it-IT"/>
              </w:rPr>
              <w:t xml:space="preserve">Giudizio: </w:t>
            </w:r>
          </w:p>
        </w:tc>
      </w:tr>
      <w:tr w:rsidR="00592B61" w:rsidRPr="00592B61" w:rsidTr="00592B61">
        <w:trPr>
          <w:tblCellSpacing w:w="15" w:type="dxa"/>
        </w:trPr>
        <w:tc>
          <w:tcPr>
            <w:tcW w:w="0" w:type="auto"/>
            <w:vAlign w:val="center"/>
            <w:hideMark/>
          </w:tcPr>
          <w:p w:rsidR="00592B61" w:rsidRPr="00592B61" w:rsidRDefault="00592B61" w:rsidP="00592B61">
            <w:pPr>
              <w:spacing w:after="0" w:line="240" w:lineRule="auto"/>
              <w:rPr>
                <w:rFonts w:ascii="Times New Roman" w:eastAsia="Times New Roman" w:hAnsi="Times New Roman" w:cs="Times New Roman"/>
                <w:sz w:val="24"/>
                <w:szCs w:val="24"/>
                <w:lang w:eastAsia="it-IT"/>
              </w:rPr>
            </w:pPr>
            <w:r w:rsidRPr="00592B61">
              <w:rPr>
                <w:rFonts w:ascii="Times New Roman" w:eastAsia="Times New Roman" w:hAnsi="Times New Roman" w:cs="Times New Roman"/>
                <w:sz w:val="24"/>
                <w:szCs w:val="24"/>
                <w:lang w:eastAsia="it-IT"/>
              </w:rPr>
              <w:t xml:space="preserve">Presidente: </w:t>
            </w:r>
            <w:r w:rsidRPr="00592B61">
              <w:rPr>
                <w:rFonts w:ascii="Times New Roman" w:eastAsia="Times New Roman" w:hAnsi="Times New Roman" w:cs="Times New Roman"/>
                <w:b/>
                <w:bCs/>
                <w:i/>
                <w:iCs/>
                <w:sz w:val="24"/>
                <w:szCs w:val="24"/>
                <w:lang w:eastAsia="it-IT"/>
              </w:rPr>
              <w:t>GROSSI</w:t>
            </w:r>
            <w:r w:rsidRPr="00592B61">
              <w:rPr>
                <w:rFonts w:ascii="Times New Roman" w:eastAsia="Times New Roman" w:hAnsi="Times New Roman" w:cs="Times New Roman"/>
                <w:sz w:val="24"/>
                <w:szCs w:val="24"/>
                <w:lang w:eastAsia="it-IT"/>
              </w:rPr>
              <w:t xml:space="preserve"> - Redattore: </w:t>
            </w:r>
            <w:r w:rsidRPr="00592B61">
              <w:rPr>
                <w:rFonts w:ascii="Times New Roman" w:eastAsia="Times New Roman" w:hAnsi="Times New Roman" w:cs="Times New Roman"/>
                <w:b/>
                <w:bCs/>
                <w:i/>
                <w:iCs/>
                <w:sz w:val="24"/>
                <w:szCs w:val="24"/>
                <w:lang w:eastAsia="it-IT"/>
              </w:rPr>
              <w:t>MORELLI</w:t>
            </w:r>
          </w:p>
        </w:tc>
      </w:tr>
      <w:tr w:rsidR="00592B61" w:rsidRPr="00592B61" w:rsidTr="00592B61">
        <w:trPr>
          <w:tblCellSpacing w:w="15" w:type="dxa"/>
        </w:trPr>
        <w:tc>
          <w:tcPr>
            <w:tcW w:w="0" w:type="auto"/>
            <w:vAlign w:val="center"/>
            <w:hideMark/>
          </w:tcPr>
          <w:p w:rsidR="00592B61" w:rsidRPr="00592B61" w:rsidRDefault="00592B61" w:rsidP="00592B61">
            <w:pPr>
              <w:spacing w:after="0" w:line="240" w:lineRule="auto"/>
              <w:rPr>
                <w:rFonts w:ascii="Times New Roman" w:eastAsia="Times New Roman" w:hAnsi="Times New Roman" w:cs="Times New Roman"/>
                <w:sz w:val="24"/>
                <w:szCs w:val="24"/>
                <w:lang w:eastAsia="it-IT"/>
              </w:rPr>
            </w:pPr>
            <w:r w:rsidRPr="00592B61">
              <w:rPr>
                <w:rFonts w:ascii="Times New Roman" w:eastAsia="Times New Roman" w:hAnsi="Times New Roman" w:cs="Times New Roman"/>
                <w:sz w:val="24"/>
                <w:szCs w:val="24"/>
                <w:lang w:eastAsia="it-IT"/>
              </w:rPr>
              <w:t xml:space="preserve">Camera di Consiglio del </w:t>
            </w:r>
            <w:r w:rsidRPr="00592B61">
              <w:rPr>
                <w:rFonts w:ascii="Times New Roman" w:eastAsia="Times New Roman" w:hAnsi="Times New Roman" w:cs="Times New Roman"/>
                <w:b/>
                <w:bCs/>
                <w:sz w:val="24"/>
                <w:szCs w:val="24"/>
                <w:lang w:eastAsia="it-IT"/>
              </w:rPr>
              <w:t>11/01/2017</w:t>
            </w:r>
            <w:r w:rsidRPr="00592B61">
              <w:rPr>
                <w:rFonts w:ascii="Times New Roman" w:eastAsia="Times New Roman" w:hAnsi="Times New Roman" w:cs="Times New Roman"/>
                <w:sz w:val="24"/>
                <w:szCs w:val="24"/>
                <w:lang w:eastAsia="it-IT"/>
              </w:rPr>
              <w:t xml:space="preserve">;    Decisione  del </w:t>
            </w:r>
            <w:r w:rsidRPr="00592B61">
              <w:rPr>
                <w:rFonts w:ascii="Times New Roman" w:eastAsia="Times New Roman" w:hAnsi="Times New Roman" w:cs="Times New Roman"/>
                <w:b/>
                <w:bCs/>
                <w:sz w:val="24"/>
                <w:szCs w:val="24"/>
                <w:lang w:eastAsia="it-IT"/>
              </w:rPr>
              <w:t>11/01/2017</w:t>
            </w:r>
          </w:p>
        </w:tc>
      </w:tr>
      <w:tr w:rsidR="00592B61" w:rsidRPr="00592B61" w:rsidTr="00592B61">
        <w:trPr>
          <w:tblCellSpacing w:w="15" w:type="dxa"/>
        </w:trPr>
        <w:tc>
          <w:tcPr>
            <w:tcW w:w="0" w:type="auto"/>
            <w:vAlign w:val="center"/>
            <w:hideMark/>
          </w:tcPr>
          <w:p w:rsidR="00592B61" w:rsidRPr="00592B61" w:rsidRDefault="00592B61" w:rsidP="00592B61">
            <w:pPr>
              <w:spacing w:after="0" w:line="240" w:lineRule="auto"/>
              <w:rPr>
                <w:rFonts w:ascii="Times New Roman" w:eastAsia="Times New Roman" w:hAnsi="Times New Roman" w:cs="Times New Roman"/>
                <w:sz w:val="24"/>
                <w:szCs w:val="24"/>
                <w:lang w:eastAsia="it-IT"/>
              </w:rPr>
            </w:pPr>
            <w:r w:rsidRPr="00592B61">
              <w:rPr>
                <w:rFonts w:ascii="Times New Roman" w:eastAsia="Times New Roman" w:hAnsi="Times New Roman" w:cs="Times New Roman"/>
                <w:sz w:val="24"/>
                <w:szCs w:val="24"/>
                <w:lang w:eastAsia="it-IT"/>
              </w:rPr>
              <w:t xml:space="preserve">Deposito del </w:t>
            </w:r>
            <w:r w:rsidRPr="00592B61">
              <w:rPr>
                <w:rFonts w:ascii="Times New Roman" w:eastAsia="Times New Roman" w:hAnsi="Times New Roman" w:cs="Times New Roman"/>
                <w:b/>
                <w:bCs/>
                <w:sz w:val="24"/>
                <w:szCs w:val="24"/>
                <w:lang w:eastAsia="it-IT"/>
              </w:rPr>
              <w:t>27/01/2017</w:t>
            </w:r>
            <w:r w:rsidRPr="00592B61">
              <w:rPr>
                <w:rFonts w:ascii="Times New Roman" w:eastAsia="Times New Roman" w:hAnsi="Times New Roman" w:cs="Times New Roman"/>
                <w:sz w:val="24"/>
                <w:szCs w:val="24"/>
                <w:lang w:eastAsia="it-IT"/>
              </w:rPr>
              <w:t xml:space="preserve">;   Pubblicazione in G. U. </w:t>
            </w:r>
          </w:p>
        </w:tc>
      </w:tr>
      <w:tr w:rsidR="00592B61" w:rsidRPr="00592B61" w:rsidTr="00592B61">
        <w:trPr>
          <w:tblCellSpacing w:w="15" w:type="dxa"/>
        </w:trPr>
        <w:tc>
          <w:tcPr>
            <w:tcW w:w="0" w:type="auto"/>
            <w:vAlign w:val="center"/>
            <w:hideMark/>
          </w:tcPr>
          <w:p w:rsidR="00592B61" w:rsidRPr="00592B61" w:rsidRDefault="00592B61" w:rsidP="00592B61">
            <w:pPr>
              <w:spacing w:after="0" w:line="240" w:lineRule="auto"/>
              <w:rPr>
                <w:rFonts w:ascii="Times New Roman" w:eastAsia="Times New Roman" w:hAnsi="Times New Roman" w:cs="Times New Roman"/>
                <w:sz w:val="24"/>
                <w:szCs w:val="24"/>
                <w:lang w:eastAsia="it-IT"/>
              </w:rPr>
            </w:pPr>
            <w:r w:rsidRPr="00592B61">
              <w:rPr>
                <w:rFonts w:ascii="Times New Roman" w:eastAsia="Times New Roman" w:hAnsi="Times New Roman" w:cs="Times New Roman"/>
                <w:sz w:val="24"/>
                <w:szCs w:val="24"/>
                <w:lang w:eastAsia="it-IT"/>
              </w:rPr>
              <w:t xml:space="preserve">Norme impugnate: Ammissibilità del referendum abrogativo avente ad oggetto le seguenti disposizioni: - art. 29, d. </w:t>
            </w:r>
            <w:proofErr w:type="spellStart"/>
            <w:r w:rsidRPr="00592B61">
              <w:rPr>
                <w:rFonts w:ascii="Times New Roman" w:eastAsia="Times New Roman" w:hAnsi="Times New Roman" w:cs="Times New Roman"/>
                <w:sz w:val="24"/>
                <w:szCs w:val="24"/>
                <w:lang w:eastAsia="it-IT"/>
              </w:rPr>
              <w:t>lgs</w:t>
            </w:r>
            <w:proofErr w:type="spellEnd"/>
            <w:r w:rsidRPr="00592B61">
              <w:rPr>
                <w:rFonts w:ascii="Times New Roman" w:eastAsia="Times New Roman" w:hAnsi="Times New Roman" w:cs="Times New Roman"/>
                <w:sz w:val="24"/>
                <w:szCs w:val="24"/>
                <w:lang w:eastAsia="it-IT"/>
              </w:rPr>
              <w:t xml:space="preserve">. 10 settembre 2003, n. 276, recante "Attuazione delle deleghe in materia di occupazione e mercato del lavoro, di cui alla legge 14 febbraio 2003, n. 30", comma 2°, limitatamente alle parole "Salvo diversa disposizione dei contratti collettivi nazionali sottoscritti da associazioni dei datori di lavoro e dei lavoratori comparativamente più rappresentative del settore che possono individuare metodi e procedure di controllo e di verifica della regolarità complessiva degli appalti," e alle parole " Il committente imprenditore o datore di lavoro è convenuto in giudizio per il pagamento unitamente all'appaltatore e con gli eventuali ulteriori subappaltatori. Il committente imprenditore o datore di lavoro può eccepire, nella prima difesa, il beneficio della preventiva escussione del patrimonio dell'appaltatore medesimo e degli eventuali subappaltatori. In tal caso il giudice accerta la responsabilità solidale di tutti gli obbligati, ma l'azione esecutiva può essere intentata nei confronti del committente imprenditore o datore di lavoro solo dopo </w:t>
            </w:r>
            <w:bookmarkStart w:id="0" w:name="_GoBack"/>
            <w:bookmarkEnd w:id="0"/>
            <w:r w:rsidRPr="00592B61">
              <w:rPr>
                <w:rFonts w:ascii="Times New Roman" w:eastAsia="Times New Roman" w:hAnsi="Times New Roman" w:cs="Times New Roman"/>
                <w:sz w:val="24"/>
                <w:szCs w:val="24"/>
                <w:lang w:eastAsia="it-IT"/>
              </w:rPr>
              <w:t>l'infruttuosa escussione del patrimonio dell'appaltatore e degli eventuali subappaltatori."</w:t>
            </w:r>
          </w:p>
        </w:tc>
      </w:tr>
      <w:tr w:rsidR="00592B61" w:rsidRPr="00592B61" w:rsidTr="00592B61">
        <w:trPr>
          <w:tblCellSpacing w:w="15" w:type="dxa"/>
        </w:trPr>
        <w:tc>
          <w:tcPr>
            <w:tcW w:w="0" w:type="auto"/>
            <w:vAlign w:val="center"/>
            <w:hideMark/>
          </w:tcPr>
          <w:p w:rsidR="00592B61" w:rsidRPr="00592B61" w:rsidRDefault="00592B61" w:rsidP="00592B61">
            <w:pPr>
              <w:spacing w:after="0" w:line="240" w:lineRule="auto"/>
              <w:rPr>
                <w:rFonts w:ascii="Times New Roman" w:eastAsia="Times New Roman" w:hAnsi="Times New Roman" w:cs="Times New Roman"/>
                <w:sz w:val="24"/>
                <w:szCs w:val="24"/>
                <w:lang w:eastAsia="it-IT"/>
              </w:rPr>
            </w:pPr>
            <w:r w:rsidRPr="00592B61">
              <w:rPr>
                <w:rFonts w:ascii="Times New Roman" w:eastAsia="Times New Roman" w:hAnsi="Times New Roman" w:cs="Times New Roman"/>
                <w:sz w:val="24"/>
                <w:szCs w:val="24"/>
                <w:lang w:eastAsia="it-IT"/>
              </w:rPr>
              <w:t xml:space="preserve">Massime: </w:t>
            </w:r>
          </w:p>
        </w:tc>
      </w:tr>
      <w:tr w:rsidR="00592B61" w:rsidRPr="00592B61" w:rsidTr="00592B61">
        <w:trPr>
          <w:tblCellSpacing w:w="15" w:type="dxa"/>
        </w:trPr>
        <w:tc>
          <w:tcPr>
            <w:tcW w:w="0" w:type="auto"/>
            <w:vAlign w:val="center"/>
            <w:hideMark/>
          </w:tcPr>
          <w:p w:rsidR="00592B61" w:rsidRPr="00592B61" w:rsidRDefault="00592B61" w:rsidP="00592B61">
            <w:pPr>
              <w:spacing w:after="0" w:line="240" w:lineRule="auto"/>
              <w:rPr>
                <w:rFonts w:ascii="Times New Roman" w:eastAsia="Times New Roman" w:hAnsi="Times New Roman" w:cs="Times New Roman"/>
                <w:sz w:val="24"/>
                <w:szCs w:val="24"/>
                <w:lang w:eastAsia="it-IT"/>
              </w:rPr>
            </w:pPr>
            <w:r w:rsidRPr="00592B61">
              <w:rPr>
                <w:rFonts w:ascii="Times New Roman" w:eastAsia="Times New Roman" w:hAnsi="Times New Roman" w:cs="Times New Roman"/>
                <w:sz w:val="24"/>
                <w:szCs w:val="24"/>
                <w:lang w:eastAsia="it-IT"/>
              </w:rPr>
              <w:t xml:space="preserve">Atti decisi: </w:t>
            </w:r>
            <w:proofErr w:type="spellStart"/>
            <w:r w:rsidRPr="00592B61">
              <w:rPr>
                <w:rFonts w:ascii="Times New Roman" w:eastAsia="Times New Roman" w:hAnsi="Times New Roman" w:cs="Times New Roman"/>
                <w:b/>
                <w:bCs/>
                <w:sz w:val="24"/>
                <w:szCs w:val="24"/>
                <w:lang w:eastAsia="it-IT"/>
              </w:rPr>
              <w:t>ref</w:t>
            </w:r>
            <w:proofErr w:type="spellEnd"/>
            <w:r w:rsidRPr="00592B61">
              <w:rPr>
                <w:rFonts w:ascii="Times New Roman" w:eastAsia="Times New Roman" w:hAnsi="Times New Roman" w:cs="Times New Roman"/>
                <w:b/>
                <w:bCs/>
                <w:sz w:val="24"/>
                <w:szCs w:val="24"/>
                <w:lang w:eastAsia="it-IT"/>
              </w:rPr>
              <w:t>. 170</w:t>
            </w:r>
          </w:p>
        </w:tc>
      </w:tr>
    </w:tbl>
    <w:p w:rsidR="00592B61" w:rsidRPr="00592B61" w:rsidRDefault="00592B61" w:rsidP="00592B61">
      <w:pPr>
        <w:spacing w:after="0" w:line="240" w:lineRule="auto"/>
        <w:rPr>
          <w:rFonts w:ascii="Times New Roman" w:eastAsia="Times New Roman" w:hAnsi="Times New Roman" w:cs="Times New Roman"/>
          <w:sz w:val="24"/>
          <w:szCs w:val="24"/>
          <w:lang w:eastAsia="it-IT"/>
        </w:rPr>
      </w:pPr>
    </w:p>
    <w:p w:rsidR="00592B61" w:rsidRPr="00592B61" w:rsidRDefault="00592B61" w:rsidP="00592B61">
      <w:pPr>
        <w:spacing w:before="100" w:beforeAutospacing="1" w:after="100" w:afterAutospacing="1" w:line="240" w:lineRule="auto"/>
        <w:rPr>
          <w:rFonts w:ascii="Times New Roman" w:eastAsia="Times New Roman" w:hAnsi="Times New Roman" w:cs="Times New Roman"/>
          <w:sz w:val="24"/>
          <w:szCs w:val="24"/>
          <w:lang w:eastAsia="it-IT"/>
        </w:rPr>
      </w:pPr>
      <w:r w:rsidRPr="00592B61">
        <w:rPr>
          <w:rFonts w:ascii="Times New Roman" w:eastAsia="Times New Roman" w:hAnsi="Times New Roman" w:cs="Times New Roman"/>
          <w:sz w:val="24"/>
          <w:szCs w:val="24"/>
          <w:lang w:eastAsia="it-IT"/>
        </w:rPr>
        <w:t xml:space="preserve">SENTENZA N. 27 </w:t>
      </w:r>
    </w:p>
    <w:p w:rsidR="00592B61" w:rsidRPr="00592B61" w:rsidRDefault="00592B61" w:rsidP="00592B61">
      <w:pPr>
        <w:spacing w:before="100" w:beforeAutospacing="1" w:after="100" w:afterAutospacing="1" w:line="240" w:lineRule="auto"/>
        <w:rPr>
          <w:rFonts w:ascii="Times New Roman" w:eastAsia="Times New Roman" w:hAnsi="Times New Roman" w:cs="Times New Roman"/>
          <w:sz w:val="24"/>
          <w:szCs w:val="24"/>
          <w:lang w:eastAsia="it-IT"/>
        </w:rPr>
      </w:pPr>
      <w:r w:rsidRPr="00592B61">
        <w:rPr>
          <w:rFonts w:ascii="Times New Roman" w:eastAsia="Times New Roman" w:hAnsi="Times New Roman" w:cs="Times New Roman"/>
          <w:sz w:val="24"/>
          <w:szCs w:val="24"/>
          <w:lang w:eastAsia="it-IT"/>
        </w:rPr>
        <w:t xml:space="preserve">ANNO 2017 </w:t>
      </w:r>
    </w:p>
    <w:p w:rsidR="00592B61" w:rsidRPr="00592B61" w:rsidRDefault="00592B61" w:rsidP="00592B61">
      <w:pPr>
        <w:spacing w:after="0" w:line="240" w:lineRule="auto"/>
        <w:rPr>
          <w:rFonts w:ascii="Times New Roman" w:eastAsia="Times New Roman" w:hAnsi="Times New Roman" w:cs="Times New Roman"/>
          <w:sz w:val="24"/>
          <w:szCs w:val="24"/>
          <w:lang w:eastAsia="it-IT"/>
        </w:rPr>
      </w:pPr>
      <w:r w:rsidRPr="00592B61">
        <w:rPr>
          <w:rFonts w:ascii="Times New Roman" w:eastAsia="Times New Roman" w:hAnsi="Times New Roman" w:cs="Times New Roman"/>
          <w:sz w:val="24"/>
          <w:szCs w:val="24"/>
          <w:lang w:eastAsia="it-IT"/>
        </w:rPr>
        <w:br/>
      </w:r>
    </w:p>
    <w:p w:rsidR="00592B61" w:rsidRPr="00592B61" w:rsidRDefault="00592B61" w:rsidP="00592B61">
      <w:pPr>
        <w:spacing w:before="100" w:beforeAutospacing="1" w:after="100" w:afterAutospacing="1" w:line="240" w:lineRule="auto"/>
        <w:rPr>
          <w:rFonts w:ascii="Times New Roman" w:eastAsia="Times New Roman" w:hAnsi="Times New Roman" w:cs="Times New Roman"/>
          <w:sz w:val="24"/>
          <w:szCs w:val="24"/>
          <w:lang w:eastAsia="it-IT"/>
        </w:rPr>
      </w:pPr>
      <w:r w:rsidRPr="00592B61">
        <w:rPr>
          <w:rFonts w:ascii="Times New Roman" w:eastAsia="Times New Roman" w:hAnsi="Times New Roman" w:cs="Times New Roman"/>
          <w:sz w:val="24"/>
          <w:szCs w:val="24"/>
          <w:lang w:eastAsia="it-IT"/>
        </w:rPr>
        <w:t xml:space="preserve">REPUBBLICA ITALIANA </w:t>
      </w:r>
    </w:p>
    <w:p w:rsidR="00592B61" w:rsidRPr="00592B61" w:rsidRDefault="00592B61" w:rsidP="00592B61">
      <w:pPr>
        <w:spacing w:before="100" w:beforeAutospacing="1" w:after="100" w:afterAutospacing="1" w:line="240" w:lineRule="auto"/>
        <w:rPr>
          <w:rFonts w:ascii="Times New Roman" w:eastAsia="Times New Roman" w:hAnsi="Times New Roman" w:cs="Times New Roman"/>
          <w:sz w:val="24"/>
          <w:szCs w:val="24"/>
          <w:lang w:eastAsia="it-IT"/>
        </w:rPr>
      </w:pPr>
      <w:r w:rsidRPr="00592B61">
        <w:rPr>
          <w:rFonts w:ascii="Times New Roman" w:eastAsia="Times New Roman" w:hAnsi="Times New Roman" w:cs="Times New Roman"/>
          <w:sz w:val="24"/>
          <w:szCs w:val="24"/>
          <w:lang w:eastAsia="it-IT"/>
        </w:rPr>
        <w:t xml:space="preserve">IN NOME DEL POPOLO ITALIANO </w:t>
      </w:r>
    </w:p>
    <w:p w:rsidR="00592B61" w:rsidRPr="00592B61" w:rsidRDefault="00592B61" w:rsidP="00592B61">
      <w:pPr>
        <w:spacing w:before="100" w:beforeAutospacing="1" w:after="100" w:afterAutospacing="1" w:line="240" w:lineRule="auto"/>
        <w:rPr>
          <w:rFonts w:ascii="Times New Roman" w:eastAsia="Times New Roman" w:hAnsi="Times New Roman" w:cs="Times New Roman"/>
          <w:sz w:val="24"/>
          <w:szCs w:val="24"/>
          <w:lang w:eastAsia="it-IT"/>
        </w:rPr>
      </w:pPr>
      <w:r w:rsidRPr="00592B61">
        <w:rPr>
          <w:rFonts w:ascii="Times New Roman" w:eastAsia="Times New Roman" w:hAnsi="Times New Roman" w:cs="Times New Roman"/>
          <w:sz w:val="24"/>
          <w:szCs w:val="24"/>
          <w:lang w:eastAsia="it-IT"/>
        </w:rPr>
        <w:t xml:space="preserve">LA CORTE COSTITUZIONALE </w:t>
      </w:r>
    </w:p>
    <w:p w:rsidR="00592B61" w:rsidRPr="00592B61" w:rsidRDefault="00592B61" w:rsidP="00592B61">
      <w:pPr>
        <w:spacing w:before="100" w:beforeAutospacing="1" w:after="100" w:afterAutospacing="1" w:line="240" w:lineRule="auto"/>
        <w:rPr>
          <w:rFonts w:ascii="Times New Roman" w:eastAsia="Times New Roman" w:hAnsi="Times New Roman" w:cs="Times New Roman"/>
          <w:sz w:val="24"/>
          <w:szCs w:val="24"/>
          <w:lang w:eastAsia="it-IT"/>
        </w:rPr>
      </w:pPr>
      <w:r w:rsidRPr="00592B61">
        <w:rPr>
          <w:rFonts w:ascii="Times New Roman" w:eastAsia="Times New Roman" w:hAnsi="Times New Roman" w:cs="Times New Roman"/>
          <w:sz w:val="24"/>
          <w:szCs w:val="24"/>
          <w:lang w:eastAsia="it-IT"/>
        </w:rPr>
        <w:t>composta dai signori: Presidente: Paolo GROSSI; Giudici : Giorgio LATTANZI, Aldo CAROSI, Marta CARTABIA, Mario Rosario MORELLI, Giancarlo CORAGGIO, Giuliano AMATO, Silvana SCIARRA, Daria de PRETIS, Nicolò ZANON, Franco MODUGNO, Augusto Antonio BARBERA, Giulio PROSPERETTI,</w:t>
      </w:r>
    </w:p>
    <w:p w:rsidR="00592B61" w:rsidRPr="00592B61" w:rsidRDefault="00592B61" w:rsidP="00592B61">
      <w:pPr>
        <w:spacing w:after="0" w:line="240" w:lineRule="auto"/>
        <w:rPr>
          <w:rFonts w:ascii="Times New Roman" w:eastAsia="Times New Roman" w:hAnsi="Times New Roman" w:cs="Times New Roman"/>
          <w:sz w:val="24"/>
          <w:szCs w:val="24"/>
          <w:lang w:eastAsia="it-IT"/>
        </w:rPr>
      </w:pPr>
      <w:r w:rsidRPr="00592B61">
        <w:rPr>
          <w:rFonts w:ascii="Times New Roman" w:eastAsia="Times New Roman" w:hAnsi="Times New Roman" w:cs="Times New Roman"/>
          <w:sz w:val="24"/>
          <w:szCs w:val="24"/>
          <w:lang w:eastAsia="it-IT"/>
        </w:rPr>
        <w:br/>
      </w:r>
    </w:p>
    <w:p w:rsidR="00592B61" w:rsidRPr="00592B61" w:rsidRDefault="00592B61" w:rsidP="00592B61">
      <w:pPr>
        <w:spacing w:before="100" w:beforeAutospacing="1" w:after="100" w:afterAutospacing="1" w:line="240" w:lineRule="auto"/>
        <w:rPr>
          <w:rFonts w:ascii="Times New Roman" w:eastAsia="Times New Roman" w:hAnsi="Times New Roman" w:cs="Times New Roman"/>
          <w:sz w:val="24"/>
          <w:szCs w:val="24"/>
          <w:lang w:eastAsia="it-IT"/>
        </w:rPr>
      </w:pPr>
      <w:r w:rsidRPr="00592B61">
        <w:rPr>
          <w:rFonts w:ascii="Times New Roman" w:eastAsia="Times New Roman" w:hAnsi="Times New Roman" w:cs="Times New Roman"/>
          <w:sz w:val="24"/>
          <w:szCs w:val="24"/>
          <w:lang w:eastAsia="it-IT"/>
        </w:rPr>
        <w:t xml:space="preserve">ha pronunciato la seguente </w:t>
      </w:r>
    </w:p>
    <w:p w:rsidR="00592B61" w:rsidRPr="00592B61" w:rsidRDefault="00592B61" w:rsidP="00592B61">
      <w:pPr>
        <w:spacing w:before="100" w:beforeAutospacing="1" w:after="100" w:afterAutospacing="1" w:line="240" w:lineRule="auto"/>
        <w:rPr>
          <w:rFonts w:ascii="Times New Roman" w:eastAsia="Times New Roman" w:hAnsi="Times New Roman" w:cs="Times New Roman"/>
          <w:sz w:val="24"/>
          <w:szCs w:val="24"/>
          <w:lang w:eastAsia="it-IT"/>
        </w:rPr>
      </w:pPr>
      <w:r w:rsidRPr="00592B61">
        <w:rPr>
          <w:rFonts w:ascii="Times New Roman" w:eastAsia="Times New Roman" w:hAnsi="Times New Roman" w:cs="Times New Roman"/>
          <w:sz w:val="24"/>
          <w:szCs w:val="24"/>
          <w:lang w:eastAsia="it-IT"/>
        </w:rPr>
        <w:t xml:space="preserve">SENTENZA </w:t>
      </w:r>
    </w:p>
    <w:p w:rsidR="00592B61" w:rsidRPr="00592B61" w:rsidRDefault="00592B61" w:rsidP="00592B61">
      <w:pPr>
        <w:spacing w:before="100" w:beforeAutospacing="1" w:after="100" w:afterAutospacing="1" w:line="240" w:lineRule="auto"/>
        <w:rPr>
          <w:rFonts w:ascii="Times New Roman" w:eastAsia="Times New Roman" w:hAnsi="Times New Roman" w:cs="Times New Roman"/>
          <w:sz w:val="24"/>
          <w:szCs w:val="24"/>
          <w:lang w:eastAsia="it-IT"/>
        </w:rPr>
      </w:pPr>
      <w:r w:rsidRPr="00592B61">
        <w:rPr>
          <w:rFonts w:ascii="Times New Roman" w:eastAsia="Times New Roman" w:hAnsi="Times New Roman" w:cs="Times New Roman"/>
          <w:sz w:val="24"/>
          <w:szCs w:val="24"/>
          <w:lang w:eastAsia="it-IT"/>
        </w:rPr>
        <w:t xml:space="preserve">nel giudizio di ammissibilità, ai sensi dell’art. 2, primo comma, della legge costituzionale 11 marzo 1953, n. 1 (Norme integrative della Costituzione concernenti la Corte costituzionale), della richiesta </w:t>
      </w:r>
      <w:r w:rsidRPr="00592B61">
        <w:rPr>
          <w:rFonts w:ascii="Times New Roman" w:eastAsia="Times New Roman" w:hAnsi="Times New Roman" w:cs="Times New Roman"/>
          <w:sz w:val="24"/>
          <w:szCs w:val="24"/>
          <w:lang w:eastAsia="it-IT"/>
        </w:rPr>
        <w:lastRenderedPageBreak/>
        <w:t xml:space="preserve">di referendum popolare per l’abrogazione dell’art. 29, comma 2, del decreto legislativo 10 settembre 2003, n. 276 (Attuazione delle deleghe in materia di occupazione e mercato del lavoro, di cui alla legge 14 febbraio 2003, n. 30), limitatamente alle parole «Salvo diversa disposizione dei contratti collettivi nazionali sottoscritti da associazioni dei datori di lavoro e dei lavoratori comparativamente più rappresentative del settore che possono individuare metodi e procedure di controllo e di verifica della regolarità complessiva degli appalti,» e alle parole «Il committente imprenditore o datore di lavoro è convenuto in giudizio per il pagamento unitamente all’appaltatore e con gli eventuali ulteriori subappaltatori. Il committente imprenditore o datore di lavoro può eccepire, nella prima difesa, il beneficio della preventiva escussione del patrimonio dell’appaltatore medesimo e degli eventuali subappaltatori. In tal caso il giudice accerta la responsabilità solidale di tutti gli obbligati, ma l’azione esecutiva può essere intentata nei confronti del committente imprenditore o datore di lavoro solo dopo l’infruttuosa escussione del patrimonio dell’appaltatore e degli eventuali subappaltatori.», giudizio iscritto al n. 170 del registro referendum. </w:t>
      </w:r>
    </w:p>
    <w:p w:rsidR="00592B61" w:rsidRPr="00592B61" w:rsidRDefault="00592B61" w:rsidP="00592B61">
      <w:pPr>
        <w:spacing w:before="100" w:beforeAutospacing="1" w:after="100" w:afterAutospacing="1" w:line="240" w:lineRule="auto"/>
        <w:rPr>
          <w:rFonts w:ascii="Times New Roman" w:eastAsia="Times New Roman" w:hAnsi="Times New Roman" w:cs="Times New Roman"/>
          <w:sz w:val="24"/>
          <w:szCs w:val="24"/>
          <w:lang w:eastAsia="it-IT"/>
        </w:rPr>
      </w:pPr>
      <w:r w:rsidRPr="00592B61">
        <w:rPr>
          <w:rFonts w:ascii="Times New Roman" w:eastAsia="Times New Roman" w:hAnsi="Times New Roman" w:cs="Times New Roman"/>
          <w:sz w:val="24"/>
          <w:szCs w:val="24"/>
          <w:lang w:eastAsia="it-IT"/>
        </w:rPr>
        <w:t xml:space="preserve">Vista l’ordinanza del 9 dicembre 2016, con la quale l’Ufficio centrale per il referendum presso la Corte di cassazione ha dichiarato conforme a legge la richiesta; </w:t>
      </w:r>
    </w:p>
    <w:p w:rsidR="00592B61" w:rsidRPr="00592B61" w:rsidRDefault="00592B61" w:rsidP="00592B61">
      <w:pPr>
        <w:spacing w:before="100" w:beforeAutospacing="1" w:after="100" w:afterAutospacing="1" w:line="240" w:lineRule="auto"/>
        <w:rPr>
          <w:rFonts w:ascii="Times New Roman" w:eastAsia="Times New Roman" w:hAnsi="Times New Roman" w:cs="Times New Roman"/>
          <w:sz w:val="24"/>
          <w:szCs w:val="24"/>
          <w:lang w:eastAsia="it-IT"/>
        </w:rPr>
      </w:pPr>
      <w:r w:rsidRPr="00592B61">
        <w:rPr>
          <w:rFonts w:ascii="Times New Roman" w:eastAsia="Times New Roman" w:hAnsi="Times New Roman" w:cs="Times New Roman"/>
          <w:sz w:val="24"/>
          <w:szCs w:val="24"/>
          <w:lang w:eastAsia="it-IT"/>
        </w:rPr>
        <w:t xml:space="preserve">udito nella camera di consiglio dell’11 gennaio 2017 il Giudice relatore Mario Rosario Morelli; </w:t>
      </w:r>
    </w:p>
    <w:p w:rsidR="00592B61" w:rsidRPr="00592B61" w:rsidRDefault="00592B61" w:rsidP="00592B61">
      <w:pPr>
        <w:spacing w:before="100" w:beforeAutospacing="1" w:after="100" w:afterAutospacing="1" w:line="240" w:lineRule="auto"/>
        <w:rPr>
          <w:rFonts w:ascii="Times New Roman" w:eastAsia="Times New Roman" w:hAnsi="Times New Roman" w:cs="Times New Roman"/>
          <w:sz w:val="24"/>
          <w:szCs w:val="24"/>
          <w:lang w:eastAsia="it-IT"/>
        </w:rPr>
      </w:pPr>
      <w:r w:rsidRPr="00592B61">
        <w:rPr>
          <w:rFonts w:ascii="Times New Roman" w:eastAsia="Times New Roman" w:hAnsi="Times New Roman" w:cs="Times New Roman"/>
          <w:sz w:val="24"/>
          <w:szCs w:val="24"/>
          <w:lang w:eastAsia="it-IT"/>
        </w:rPr>
        <w:t xml:space="preserve">uditi gli avvocati Vittorio Angiolini e Amos </w:t>
      </w:r>
      <w:proofErr w:type="spellStart"/>
      <w:r w:rsidRPr="00592B61">
        <w:rPr>
          <w:rFonts w:ascii="Times New Roman" w:eastAsia="Times New Roman" w:hAnsi="Times New Roman" w:cs="Times New Roman"/>
          <w:sz w:val="24"/>
          <w:szCs w:val="24"/>
          <w:lang w:eastAsia="it-IT"/>
        </w:rPr>
        <w:t>Andreoni</w:t>
      </w:r>
      <w:proofErr w:type="spellEnd"/>
      <w:r w:rsidRPr="00592B61">
        <w:rPr>
          <w:rFonts w:ascii="Times New Roman" w:eastAsia="Times New Roman" w:hAnsi="Times New Roman" w:cs="Times New Roman"/>
          <w:sz w:val="24"/>
          <w:szCs w:val="24"/>
          <w:lang w:eastAsia="it-IT"/>
        </w:rPr>
        <w:t xml:space="preserve"> per </w:t>
      </w:r>
      <w:proofErr w:type="spellStart"/>
      <w:r w:rsidRPr="00592B61">
        <w:rPr>
          <w:rFonts w:ascii="Times New Roman" w:eastAsia="Times New Roman" w:hAnsi="Times New Roman" w:cs="Times New Roman"/>
          <w:sz w:val="24"/>
          <w:szCs w:val="24"/>
          <w:lang w:eastAsia="it-IT"/>
        </w:rPr>
        <w:t>Camusso</w:t>
      </w:r>
      <w:proofErr w:type="spellEnd"/>
      <w:r w:rsidRPr="00592B61">
        <w:rPr>
          <w:rFonts w:ascii="Times New Roman" w:eastAsia="Times New Roman" w:hAnsi="Times New Roman" w:cs="Times New Roman"/>
          <w:sz w:val="24"/>
          <w:szCs w:val="24"/>
          <w:lang w:eastAsia="it-IT"/>
        </w:rPr>
        <w:t xml:space="preserve"> Susanna Lina Giulia e </w:t>
      </w:r>
      <w:proofErr w:type="spellStart"/>
      <w:r w:rsidRPr="00592B61">
        <w:rPr>
          <w:rFonts w:ascii="Times New Roman" w:eastAsia="Times New Roman" w:hAnsi="Times New Roman" w:cs="Times New Roman"/>
          <w:sz w:val="24"/>
          <w:szCs w:val="24"/>
          <w:lang w:eastAsia="it-IT"/>
        </w:rPr>
        <w:t>Baseotto</w:t>
      </w:r>
      <w:proofErr w:type="spellEnd"/>
      <w:r w:rsidRPr="00592B61">
        <w:rPr>
          <w:rFonts w:ascii="Times New Roman" w:eastAsia="Times New Roman" w:hAnsi="Times New Roman" w:cs="Times New Roman"/>
          <w:sz w:val="24"/>
          <w:szCs w:val="24"/>
          <w:lang w:eastAsia="it-IT"/>
        </w:rPr>
        <w:t xml:space="preserve"> Giovanni Marco Mauro, nella qualità di componenti del comitato promotore del referendum, e l’avvocato dello Stato Vincenzo Nunziata per il Presidente del Consiglio dei ministri. </w:t>
      </w:r>
    </w:p>
    <w:p w:rsidR="00592B61" w:rsidRPr="00592B61" w:rsidRDefault="00592B61" w:rsidP="00592B61">
      <w:pPr>
        <w:spacing w:after="0" w:line="240" w:lineRule="auto"/>
        <w:rPr>
          <w:rFonts w:ascii="Times New Roman" w:eastAsia="Times New Roman" w:hAnsi="Times New Roman" w:cs="Times New Roman"/>
          <w:sz w:val="24"/>
          <w:szCs w:val="24"/>
          <w:lang w:eastAsia="it-IT"/>
        </w:rPr>
      </w:pPr>
      <w:r w:rsidRPr="00592B61">
        <w:rPr>
          <w:rFonts w:ascii="Times New Roman" w:eastAsia="Times New Roman" w:hAnsi="Times New Roman" w:cs="Times New Roman"/>
          <w:sz w:val="24"/>
          <w:szCs w:val="24"/>
          <w:lang w:eastAsia="it-IT"/>
        </w:rPr>
        <w:br/>
      </w:r>
      <w:bookmarkStart w:id="1" w:name="fatto"/>
      <w:bookmarkEnd w:id="1"/>
    </w:p>
    <w:p w:rsidR="00592B61" w:rsidRPr="00592B61" w:rsidRDefault="00592B61" w:rsidP="00592B61">
      <w:pPr>
        <w:spacing w:before="100" w:beforeAutospacing="1" w:after="100" w:afterAutospacing="1" w:line="240" w:lineRule="auto"/>
        <w:rPr>
          <w:rFonts w:ascii="Times New Roman" w:eastAsia="Times New Roman" w:hAnsi="Times New Roman" w:cs="Times New Roman"/>
          <w:sz w:val="24"/>
          <w:szCs w:val="24"/>
          <w:lang w:eastAsia="it-IT"/>
        </w:rPr>
      </w:pPr>
      <w:r w:rsidRPr="00592B61">
        <w:rPr>
          <w:rFonts w:ascii="Times New Roman" w:eastAsia="Times New Roman" w:hAnsi="Times New Roman" w:cs="Times New Roman"/>
          <w:sz w:val="24"/>
          <w:szCs w:val="24"/>
          <w:lang w:eastAsia="it-IT"/>
        </w:rPr>
        <w:t xml:space="preserve">Ritenuto in fatto </w:t>
      </w:r>
    </w:p>
    <w:p w:rsidR="00592B61" w:rsidRPr="00592B61" w:rsidRDefault="00592B61" w:rsidP="00592B61">
      <w:pPr>
        <w:spacing w:before="100" w:beforeAutospacing="1" w:after="100" w:afterAutospacing="1" w:line="240" w:lineRule="auto"/>
        <w:rPr>
          <w:rFonts w:ascii="Times New Roman" w:eastAsia="Times New Roman" w:hAnsi="Times New Roman" w:cs="Times New Roman"/>
          <w:sz w:val="24"/>
          <w:szCs w:val="24"/>
          <w:lang w:eastAsia="it-IT"/>
        </w:rPr>
      </w:pPr>
      <w:r w:rsidRPr="00592B61">
        <w:rPr>
          <w:rFonts w:ascii="Times New Roman" w:eastAsia="Times New Roman" w:hAnsi="Times New Roman" w:cs="Times New Roman"/>
          <w:sz w:val="24"/>
          <w:szCs w:val="24"/>
          <w:lang w:eastAsia="it-IT"/>
        </w:rPr>
        <w:t xml:space="preserve">1.− Con ordinanza pronunciata il 9 dicembre 2016, l’Ufficio centrale per il referendum, costituito presso la Corte di cassazione, ai sensi dell’art. 12 della legge 25 maggio 1970, n. 352 (Norme sui referendum previsti dalla Costituzione e sulla iniziativa legislativa del popolo) e successive modificazioni, ha dichiarato conforme alle disposizioni di legge la richiesta di referendum popolare promossa da quattordici cittadini italiani – con annuncio pubblicato nella Gazzetta Ufficiale del 23 marzo 2016, serie generale, n. 69 – (anche) sul seguente quesito: </w:t>
      </w:r>
    </w:p>
    <w:p w:rsidR="00592B61" w:rsidRPr="00592B61" w:rsidRDefault="00592B61" w:rsidP="00592B61">
      <w:pPr>
        <w:spacing w:before="100" w:beforeAutospacing="1" w:after="100" w:afterAutospacing="1" w:line="240" w:lineRule="auto"/>
        <w:rPr>
          <w:rFonts w:ascii="Times New Roman" w:eastAsia="Times New Roman" w:hAnsi="Times New Roman" w:cs="Times New Roman"/>
          <w:sz w:val="24"/>
          <w:szCs w:val="24"/>
          <w:lang w:eastAsia="it-IT"/>
        </w:rPr>
      </w:pPr>
      <w:r w:rsidRPr="00592B61">
        <w:rPr>
          <w:rFonts w:ascii="Times New Roman" w:eastAsia="Times New Roman" w:hAnsi="Times New Roman" w:cs="Times New Roman"/>
          <w:sz w:val="24"/>
          <w:szCs w:val="24"/>
          <w:lang w:eastAsia="it-IT"/>
        </w:rPr>
        <w:t xml:space="preserve">«Volete voi l’abrogazione dell’art. 29 del d.lgs. 10 settembre 2003, n. 276, recante “Attuazione delle deleghe in materia di occupazione e mercato del lavoro, di cui alla legge 14 febbraio 2003, n. 30” comma 2, limitatamente alle parole “Salvo diversa disposizione dei contratti collettivi nazionali sottoscritti da associazioni dei datori di lavoro e dei lavoratori comparativamente più rappresentative del settore che possono individuare metodi e procedure di controllo e di verifica della regolarità complessiva degli appalti,” e alle parole “Il committente imprenditore o datore di lavoro è convenuto in giudizio per il pagamento unitamente all’appaltatore e con gli eventuali ulteriori subappaltatori. Il committente imprenditore o datore di lavoro può eccepire, nella prima difesa, il beneficio della preventiva escussione del patrimonio dell’appaltatore medesimo e degli eventuali subappaltatori. In tal caso il giudice accerta la responsabilità solidale di tutti gli obbligati, ma l’azione esecutiva può essere intentata nei confronti del committente imprenditore o datore di lavoro solo dopo l’infruttuosa escussione del patrimonio dell’appaltatore e degli eventuali subappaltatori.”?». </w:t>
      </w:r>
    </w:p>
    <w:p w:rsidR="00592B61" w:rsidRPr="00592B61" w:rsidRDefault="00592B61" w:rsidP="00592B61">
      <w:pPr>
        <w:spacing w:before="100" w:beforeAutospacing="1" w:after="100" w:afterAutospacing="1" w:line="240" w:lineRule="auto"/>
        <w:rPr>
          <w:rFonts w:ascii="Times New Roman" w:eastAsia="Times New Roman" w:hAnsi="Times New Roman" w:cs="Times New Roman"/>
          <w:sz w:val="24"/>
          <w:szCs w:val="24"/>
          <w:lang w:eastAsia="it-IT"/>
        </w:rPr>
      </w:pPr>
      <w:r w:rsidRPr="00592B61">
        <w:rPr>
          <w:rFonts w:ascii="Times New Roman" w:eastAsia="Times New Roman" w:hAnsi="Times New Roman" w:cs="Times New Roman"/>
          <w:sz w:val="24"/>
          <w:szCs w:val="24"/>
          <w:lang w:eastAsia="it-IT"/>
        </w:rPr>
        <w:t xml:space="preserve">2.– L’Ufficio centrale ha attribuito al quesito il seguente titolo: «abrogazione disposizioni limitative della responsabilità solidale in materia di appalti». </w:t>
      </w:r>
    </w:p>
    <w:p w:rsidR="00592B61" w:rsidRPr="00592B61" w:rsidRDefault="00592B61" w:rsidP="00592B61">
      <w:pPr>
        <w:spacing w:before="100" w:beforeAutospacing="1" w:after="100" w:afterAutospacing="1" w:line="240" w:lineRule="auto"/>
        <w:rPr>
          <w:rFonts w:ascii="Times New Roman" w:eastAsia="Times New Roman" w:hAnsi="Times New Roman" w:cs="Times New Roman"/>
          <w:sz w:val="24"/>
          <w:szCs w:val="24"/>
          <w:lang w:eastAsia="it-IT"/>
        </w:rPr>
      </w:pPr>
      <w:r w:rsidRPr="00592B61">
        <w:rPr>
          <w:rFonts w:ascii="Times New Roman" w:eastAsia="Times New Roman" w:hAnsi="Times New Roman" w:cs="Times New Roman"/>
          <w:sz w:val="24"/>
          <w:szCs w:val="24"/>
          <w:lang w:eastAsia="it-IT"/>
        </w:rPr>
        <w:lastRenderedPageBreak/>
        <w:t xml:space="preserve">3.– Il Presidente di questa Corte, ricevuta comunicazione dell’ordinanza, ha fissato, per la conseguente deliberazione, la camera di consiglio dell’11 gennaio 2017, dandone regolare comunicazione ai sensi dell’art. 33 della legge n. 352 del 1970. </w:t>
      </w:r>
    </w:p>
    <w:p w:rsidR="00592B61" w:rsidRPr="00592B61" w:rsidRDefault="00592B61" w:rsidP="00592B61">
      <w:pPr>
        <w:spacing w:before="100" w:beforeAutospacing="1" w:after="100" w:afterAutospacing="1" w:line="240" w:lineRule="auto"/>
        <w:rPr>
          <w:rFonts w:ascii="Times New Roman" w:eastAsia="Times New Roman" w:hAnsi="Times New Roman" w:cs="Times New Roman"/>
          <w:sz w:val="24"/>
          <w:szCs w:val="24"/>
          <w:lang w:eastAsia="it-IT"/>
        </w:rPr>
      </w:pPr>
      <w:r w:rsidRPr="00592B61">
        <w:rPr>
          <w:rFonts w:ascii="Times New Roman" w:eastAsia="Times New Roman" w:hAnsi="Times New Roman" w:cs="Times New Roman"/>
          <w:sz w:val="24"/>
          <w:szCs w:val="24"/>
          <w:lang w:eastAsia="it-IT"/>
        </w:rPr>
        <w:t xml:space="preserve">4.– In data 5 gennaio 2017, i presentatori della richiesta e la Presidenza del Consiglio dei ministri, rappresentata e difesa dall’Avvocatura generale dello Stato, avvalendosi della facoltà di cui all’art. 33, terzo comma, della citata legge n. 352 del 1970, hanno depositato, ciascuno, una propria memoria, con la quale, rispettivamente, i primi illustrano le ragioni di ammissibilità del quesito referendario, mentre la seconda ne sostiene l’inammissibilità, sia per la «condizione di incertezza normativa» che deriverebbe dal ripristino della antinomia tra le discipline recate dall’art. 29, comma 2, del d.lgs. n. 276 del 2003 e dall’art. 1676 del codice civile, sia per il contrasto della normativa di risulta con gli artt. 3, 41, 42 e 97 </w:t>
      </w:r>
      <w:proofErr w:type="spellStart"/>
      <w:r w:rsidRPr="00592B61">
        <w:rPr>
          <w:rFonts w:ascii="Times New Roman" w:eastAsia="Times New Roman" w:hAnsi="Times New Roman" w:cs="Times New Roman"/>
          <w:sz w:val="24"/>
          <w:szCs w:val="24"/>
          <w:lang w:eastAsia="it-IT"/>
        </w:rPr>
        <w:t>Cost</w:t>
      </w:r>
      <w:proofErr w:type="spellEnd"/>
      <w:r w:rsidRPr="00592B61">
        <w:rPr>
          <w:rFonts w:ascii="Times New Roman" w:eastAsia="Times New Roman" w:hAnsi="Times New Roman" w:cs="Times New Roman"/>
          <w:sz w:val="24"/>
          <w:szCs w:val="24"/>
          <w:lang w:eastAsia="it-IT"/>
        </w:rPr>
        <w:t xml:space="preserve">., venendo meno l’equilibrio sinallagmatico garantito dalla vigente formulazione dal citato art. 29, comma 2, in relazione, sempre, alla portata della regolamentazione dettata dall’art. 1676 cod. civ. </w:t>
      </w:r>
    </w:p>
    <w:p w:rsidR="00592B61" w:rsidRPr="00592B61" w:rsidRDefault="00592B61" w:rsidP="00592B61">
      <w:pPr>
        <w:spacing w:before="100" w:beforeAutospacing="1" w:after="100" w:afterAutospacing="1" w:line="240" w:lineRule="auto"/>
        <w:rPr>
          <w:rFonts w:ascii="Times New Roman" w:eastAsia="Times New Roman" w:hAnsi="Times New Roman" w:cs="Times New Roman"/>
          <w:sz w:val="24"/>
          <w:szCs w:val="24"/>
          <w:lang w:eastAsia="it-IT"/>
        </w:rPr>
      </w:pPr>
      <w:r w:rsidRPr="00592B61">
        <w:rPr>
          <w:rFonts w:ascii="Times New Roman" w:eastAsia="Times New Roman" w:hAnsi="Times New Roman" w:cs="Times New Roman"/>
          <w:sz w:val="24"/>
          <w:szCs w:val="24"/>
          <w:lang w:eastAsia="it-IT"/>
        </w:rPr>
        <w:t xml:space="preserve">5.– Nella camera di consiglio dell’11 gennaio 2017, la difesa dei presentatori ha insistito per una pronuncia di ammissibilità della richiesta di referendum popolare e, pur non opponendosi alla replica orale dell’Avvocatura generale dello Stato, ha affermato di ritenerne non rituale l’intervento. Ciò in ragione del fatto (rimesso alla valutazione in sentenza di questa Corte) che tale intervento risulterebbe richiesto con atto sottoscritto (e che si assume, quindi, proveniente) dal Sottosegretario di Stato presso la Presidenza del Consiglio dei ministri e non dal Presidente del Consiglio stesso. </w:t>
      </w:r>
    </w:p>
    <w:p w:rsidR="00592B61" w:rsidRPr="00592B61" w:rsidRDefault="00592B61" w:rsidP="00592B61">
      <w:pPr>
        <w:spacing w:after="0" w:line="240" w:lineRule="auto"/>
        <w:rPr>
          <w:rFonts w:ascii="Times New Roman" w:eastAsia="Times New Roman" w:hAnsi="Times New Roman" w:cs="Times New Roman"/>
          <w:sz w:val="24"/>
          <w:szCs w:val="24"/>
          <w:lang w:eastAsia="it-IT"/>
        </w:rPr>
      </w:pPr>
      <w:r w:rsidRPr="00592B61">
        <w:rPr>
          <w:rFonts w:ascii="Times New Roman" w:eastAsia="Times New Roman" w:hAnsi="Times New Roman" w:cs="Times New Roman"/>
          <w:sz w:val="24"/>
          <w:szCs w:val="24"/>
          <w:lang w:eastAsia="it-IT"/>
        </w:rPr>
        <w:br/>
      </w:r>
      <w:bookmarkStart w:id="2" w:name="diritto"/>
      <w:bookmarkEnd w:id="2"/>
    </w:p>
    <w:p w:rsidR="00592B61" w:rsidRPr="00592B61" w:rsidRDefault="00592B61" w:rsidP="00592B61">
      <w:pPr>
        <w:spacing w:before="100" w:beforeAutospacing="1" w:after="100" w:afterAutospacing="1" w:line="240" w:lineRule="auto"/>
        <w:rPr>
          <w:rFonts w:ascii="Times New Roman" w:eastAsia="Times New Roman" w:hAnsi="Times New Roman" w:cs="Times New Roman"/>
          <w:sz w:val="24"/>
          <w:szCs w:val="24"/>
          <w:lang w:eastAsia="it-IT"/>
        </w:rPr>
      </w:pPr>
      <w:r w:rsidRPr="00592B61">
        <w:rPr>
          <w:rFonts w:ascii="Times New Roman" w:eastAsia="Times New Roman" w:hAnsi="Times New Roman" w:cs="Times New Roman"/>
          <w:sz w:val="24"/>
          <w:szCs w:val="24"/>
          <w:lang w:eastAsia="it-IT"/>
        </w:rPr>
        <w:t xml:space="preserve">Considerato in diritto </w:t>
      </w:r>
    </w:p>
    <w:p w:rsidR="00592B61" w:rsidRPr="00592B61" w:rsidRDefault="00592B61" w:rsidP="00592B61">
      <w:pPr>
        <w:spacing w:before="100" w:beforeAutospacing="1" w:after="100" w:afterAutospacing="1" w:line="240" w:lineRule="auto"/>
        <w:rPr>
          <w:rFonts w:ascii="Times New Roman" w:eastAsia="Times New Roman" w:hAnsi="Times New Roman" w:cs="Times New Roman"/>
          <w:sz w:val="24"/>
          <w:szCs w:val="24"/>
          <w:lang w:eastAsia="it-IT"/>
        </w:rPr>
      </w:pPr>
      <w:r w:rsidRPr="00592B61">
        <w:rPr>
          <w:rFonts w:ascii="Times New Roman" w:eastAsia="Times New Roman" w:hAnsi="Times New Roman" w:cs="Times New Roman"/>
          <w:sz w:val="24"/>
          <w:szCs w:val="24"/>
          <w:lang w:eastAsia="it-IT"/>
        </w:rPr>
        <w:t xml:space="preserve">1.– Preliminarmente, va esclusa l’irritualità dell’intervento, in questo giudizio, dell’Avvocatura generale dello Stato: irritualità che i promotori del referendum hanno prospettato per il profilo della provenienza della correlativa richiesta da parte del Sottosegretario alla Presidenza del Consiglio dei ministri e non dal Presidente di detto Consiglio, come invece prescritto dalla legge 23 agosto 1988, n. 400 (Disciplina dell’attività di Governo e ordinamento della Presidenza del Consiglio dei Ministri). </w:t>
      </w:r>
    </w:p>
    <w:p w:rsidR="00592B61" w:rsidRPr="00592B61" w:rsidRDefault="00592B61" w:rsidP="00592B61">
      <w:pPr>
        <w:spacing w:before="100" w:beforeAutospacing="1" w:after="100" w:afterAutospacing="1" w:line="240" w:lineRule="auto"/>
        <w:rPr>
          <w:rFonts w:ascii="Times New Roman" w:eastAsia="Times New Roman" w:hAnsi="Times New Roman" w:cs="Times New Roman"/>
          <w:sz w:val="24"/>
          <w:szCs w:val="24"/>
          <w:lang w:eastAsia="it-IT"/>
        </w:rPr>
      </w:pPr>
      <w:r w:rsidRPr="00592B61">
        <w:rPr>
          <w:rFonts w:ascii="Times New Roman" w:eastAsia="Times New Roman" w:hAnsi="Times New Roman" w:cs="Times New Roman"/>
          <w:sz w:val="24"/>
          <w:szCs w:val="24"/>
          <w:lang w:eastAsia="it-IT"/>
        </w:rPr>
        <w:t xml:space="preserve">È pur vero, infatti, che, come dedotto dalla difesa dei promotori, ai sensi dell’art. 5, lettera f), della richiamata legge n. 400 del 1988, «le attribuzioni di cui alla legge 11 marzo 1953, n. 87», relative all’intervento o alla costituzione nei giudizi di legittimità costituzionale, sono direttamente attribuite al Presidente del Consiglio dei ministri, che le esercita a nome del Governo. </w:t>
      </w:r>
    </w:p>
    <w:p w:rsidR="00592B61" w:rsidRPr="00592B61" w:rsidRDefault="00592B61" w:rsidP="00592B61">
      <w:pPr>
        <w:spacing w:before="100" w:beforeAutospacing="1" w:after="100" w:afterAutospacing="1" w:line="240" w:lineRule="auto"/>
        <w:rPr>
          <w:rFonts w:ascii="Times New Roman" w:eastAsia="Times New Roman" w:hAnsi="Times New Roman" w:cs="Times New Roman"/>
          <w:sz w:val="24"/>
          <w:szCs w:val="24"/>
          <w:lang w:eastAsia="it-IT"/>
        </w:rPr>
      </w:pPr>
      <w:r w:rsidRPr="00592B61">
        <w:rPr>
          <w:rFonts w:ascii="Times New Roman" w:eastAsia="Times New Roman" w:hAnsi="Times New Roman" w:cs="Times New Roman"/>
          <w:sz w:val="24"/>
          <w:szCs w:val="24"/>
          <w:lang w:eastAsia="it-IT"/>
        </w:rPr>
        <w:t xml:space="preserve">Questa disposizione, però, non rileva nel presente giudizio, sia perché l’intervento dell’Avvocatura dello Stato è in questo caso richiesto con delibera del Consiglio dei ministri adottata ai sensi (non già del citato art. 5 della legge n. 400 del 1988, ma) dell’art. 33 della legge 25 marzo 1970, n. 352 (Norme sui referendum previsti dalla Costituzione e sulla iniziativa legislativa del popolo), in materia, quindi, ricompresa nella delega generale di firma al Sottosegretario (perché non rientrante tra le ipotesi di correlativa esclusione), sia perché l’atto sottoscritto dal Sottosegretario, del quale qui si discute, non altro è che la mera comunicazione all’Avvocatura (che al Sottosegretario comunque compete) del contenuto della delibera del Consiglio dei ministri «favorevole alla presentazione di memoria in merito alla inammissibilità del referendum abrogativo n. 170/2016». </w:t>
      </w:r>
    </w:p>
    <w:p w:rsidR="00592B61" w:rsidRPr="00592B61" w:rsidRDefault="00592B61" w:rsidP="00592B61">
      <w:pPr>
        <w:spacing w:before="100" w:beforeAutospacing="1" w:after="100" w:afterAutospacing="1" w:line="240" w:lineRule="auto"/>
        <w:rPr>
          <w:rFonts w:ascii="Times New Roman" w:eastAsia="Times New Roman" w:hAnsi="Times New Roman" w:cs="Times New Roman"/>
          <w:sz w:val="24"/>
          <w:szCs w:val="24"/>
          <w:lang w:eastAsia="it-IT"/>
        </w:rPr>
      </w:pPr>
      <w:r w:rsidRPr="00592B61">
        <w:rPr>
          <w:rFonts w:ascii="Times New Roman" w:eastAsia="Times New Roman" w:hAnsi="Times New Roman" w:cs="Times New Roman"/>
          <w:sz w:val="24"/>
          <w:szCs w:val="24"/>
          <w:lang w:eastAsia="it-IT"/>
        </w:rPr>
        <w:t xml:space="preserve">2.– La Corte è chiamata a pronunciarsi sull’ammissibilità della su menzionata richiesta di referendum popolare per l’abrogazione dell’art. 29, comma 2, del decreto legislativo 10 settembre </w:t>
      </w:r>
      <w:r w:rsidRPr="00592B61">
        <w:rPr>
          <w:rFonts w:ascii="Times New Roman" w:eastAsia="Times New Roman" w:hAnsi="Times New Roman" w:cs="Times New Roman"/>
          <w:sz w:val="24"/>
          <w:szCs w:val="24"/>
          <w:lang w:eastAsia="it-IT"/>
        </w:rPr>
        <w:lastRenderedPageBreak/>
        <w:t xml:space="preserve">2003, n. 276 (Attuazione delle deleghe in materia di occupazione e mercato del lavoro, di cui alla legge 14 febbraio 2003, n. 30), limitatamente alle parole «Salvo diversa disposizione dei contratti collettivi nazionali sottoscritti da associazioni dei datori di lavoro e dei lavoratori comparativamente più rappresentative del settore che possono individuare metodi e procedure di controllo e di verifica della regolarità complessiva degli appalti» e alle parole «Il committente imprenditore o datore di lavoro è convenuto in giudizio per il pagamento unitamente all’appaltatore e con gli eventuali ulteriori subappaltatori. Il committente imprenditore o datore di lavoro può eccepire, nella prima difesa, il beneficio della preventiva escussione del patrimonio dell’appaltatore medesimo e degli eventuali subappaltatori. In tal caso il giudice accerta la responsabilità solidale di tutti gli obbligati, ma l’azione esecutiva può essere intentata nei confronti del committente imprenditore o datore di lavoro solo dopo l’infruttuosa escussione del patrimonio dell’appaltatore e degli eventuali subappaltatori». </w:t>
      </w:r>
    </w:p>
    <w:p w:rsidR="00592B61" w:rsidRPr="00592B61" w:rsidRDefault="00592B61" w:rsidP="00592B61">
      <w:pPr>
        <w:spacing w:before="100" w:beforeAutospacing="1" w:after="100" w:afterAutospacing="1" w:line="240" w:lineRule="auto"/>
        <w:rPr>
          <w:rFonts w:ascii="Times New Roman" w:eastAsia="Times New Roman" w:hAnsi="Times New Roman" w:cs="Times New Roman"/>
          <w:sz w:val="24"/>
          <w:szCs w:val="24"/>
          <w:lang w:eastAsia="it-IT"/>
        </w:rPr>
      </w:pPr>
      <w:r w:rsidRPr="00592B61">
        <w:rPr>
          <w:rFonts w:ascii="Times New Roman" w:eastAsia="Times New Roman" w:hAnsi="Times New Roman" w:cs="Times New Roman"/>
          <w:sz w:val="24"/>
          <w:szCs w:val="24"/>
          <w:lang w:eastAsia="it-IT"/>
        </w:rPr>
        <w:t xml:space="preserve">3.– La richiesta è stata dichiarata legittima, con ordinanza del 9 dicembre 2016, dall’Ufficio centrale per il referendum, costituito presso la Corte di cassazione, che ha attribuito al quesito il seguente titolo: «abrogazione disposizioni limitative della responsabilità solidale in materia di appalti». </w:t>
      </w:r>
    </w:p>
    <w:p w:rsidR="00592B61" w:rsidRPr="00592B61" w:rsidRDefault="00592B61" w:rsidP="00592B61">
      <w:pPr>
        <w:spacing w:before="100" w:beforeAutospacing="1" w:after="100" w:afterAutospacing="1" w:line="240" w:lineRule="auto"/>
        <w:rPr>
          <w:rFonts w:ascii="Times New Roman" w:eastAsia="Times New Roman" w:hAnsi="Times New Roman" w:cs="Times New Roman"/>
          <w:sz w:val="24"/>
          <w:szCs w:val="24"/>
          <w:lang w:eastAsia="it-IT"/>
        </w:rPr>
      </w:pPr>
      <w:r w:rsidRPr="00592B61">
        <w:rPr>
          <w:rFonts w:ascii="Times New Roman" w:eastAsia="Times New Roman" w:hAnsi="Times New Roman" w:cs="Times New Roman"/>
          <w:sz w:val="24"/>
          <w:szCs w:val="24"/>
          <w:lang w:eastAsia="it-IT"/>
        </w:rPr>
        <w:t xml:space="preserve">4.– L’art. 29 del d.lgs. n. 276 del 2003, nella sua attuale formulazione – frutto di numerosi, e anche recentissimi, interventi novellatori, tra cui quello dettato dalla legge 28 giugno 2012, n. 92 (Disposizioni in materia di riforma del mercato del lavoro in una prospettiva di crescita), che ne segna essenzialmente la portata attinta dal quesito referendario – disciplina il regime di tutela della complessiva posizione giuridica dei lavoratori impiegati in appalti di opere o di servizi. </w:t>
      </w:r>
    </w:p>
    <w:p w:rsidR="00592B61" w:rsidRPr="00592B61" w:rsidRDefault="00592B61" w:rsidP="00592B61">
      <w:pPr>
        <w:spacing w:before="100" w:beforeAutospacing="1" w:after="100" w:afterAutospacing="1" w:line="240" w:lineRule="auto"/>
        <w:rPr>
          <w:rFonts w:ascii="Times New Roman" w:eastAsia="Times New Roman" w:hAnsi="Times New Roman" w:cs="Times New Roman"/>
          <w:sz w:val="24"/>
          <w:szCs w:val="24"/>
          <w:lang w:eastAsia="it-IT"/>
        </w:rPr>
      </w:pPr>
      <w:r w:rsidRPr="00592B61">
        <w:rPr>
          <w:rFonts w:ascii="Times New Roman" w:eastAsia="Times New Roman" w:hAnsi="Times New Roman" w:cs="Times New Roman"/>
          <w:sz w:val="24"/>
          <w:szCs w:val="24"/>
          <w:lang w:eastAsia="it-IT"/>
        </w:rPr>
        <w:t xml:space="preserve">In particolare, il comma 2, interessato dalla richiesta di abrogazione referendaria, reca la disciplina della responsabilità solidale di committente, appaltatore ed eventuali subappaltatori (ma rispetto a questi ultimi soltanto nel limite, </w:t>
      </w:r>
      <w:proofErr w:type="spellStart"/>
      <w:r w:rsidRPr="00592B61">
        <w:rPr>
          <w:rFonts w:ascii="Times New Roman" w:eastAsia="Times New Roman" w:hAnsi="Times New Roman" w:cs="Times New Roman"/>
          <w:sz w:val="24"/>
          <w:szCs w:val="24"/>
          <w:lang w:eastAsia="it-IT"/>
        </w:rPr>
        <w:t>decadenziale</w:t>
      </w:r>
      <w:proofErr w:type="spellEnd"/>
      <w:r w:rsidRPr="00592B61">
        <w:rPr>
          <w:rFonts w:ascii="Times New Roman" w:eastAsia="Times New Roman" w:hAnsi="Times New Roman" w:cs="Times New Roman"/>
          <w:sz w:val="24"/>
          <w:szCs w:val="24"/>
          <w:lang w:eastAsia="it-IT"/>
        </w:rPr>
        <w:t xml:space="preserve">, di due anni dalla cessazione dell’appalto) per i crediti retributivi, previdenziali e assicurativi dei lavoratori impiegati in appalti di opere o di servizi. </w:t>
      </w:r>
    </w:p>
    <w:p w:rsidR="00592B61" w:rsidRPr="00592B61" w:rsidRDefault="00592B61" w:rsidP="00592B61">
      <w:pPr>
        <w:spacing w:before="100" w:beforeAutospacing="1" w:after="100" w:afterAutospacing="1" w:line="240" w:lineRule="auto"/>
        <w:rPr>
          <w:rFonts w:ascii="Times New Roman" w:eastAsia="Times New Roman" w:hAnsi="Times New Roman" w:cs="Times New Roman"/>
          <w:sz w:val="24"/>
          <w:szCs w:val="24"/>
          <w:lang w:eastAsia="it-IT"/>
        </w:rPr>
      </w:pPr>
      <w:r w:rsidRPr="00592B61">
        <w:rPr>
          <w:rFonts w:ascii="Times New Roman" w:eastAsia="Times New Roman" w:hAnsi="Times New Roman" w:cs="Times New Roman"/>
          <w:sz w:val="24"/>
          <w:szCs w:val="24"/>
          <w:lang w:eastAsia="it-IT"/>
        </w:rPr>
        <w:t xml:space="preserve">Disciplina, questa, che può essere derogata da disposizioni della contrattazione collettiva nazionale che individuino «metodi e procedure di controllo e di verifica della regolarità complessiva degli appalti». </w:t>
      </w:r>
    </w:p>
    <w:p w:rsidR="00592B61" w:rsidRPr="00592B61" w:rsidRDefault="00592B61" w:rsidP="00592B61">
      <w:pPr>
        <w:spacing w:before="100" w:beforeAutospacing="1" w:after="100" w:afterAutospacing="1" w:line="240" w:lineRule="auto"/>
        <w:rPr>
          <w:rFonts w:ascii="Times New Roman" w:eastAsia="Times New Roman" w:hAnsi="Times New Roman" w:cs="Times New Roman"/>
          <w:sz w:val="24"/>
          <w:szCs w:val="24"/>
          <w:lang w:eastAsia="it-IT"/>
        </w:rPr>
      </w:pPr>
      <w:r w:rsidRPr="00592B61">
        <w:rPr>
          <w:rFonts w:ascii="Times New Roman" w:eastAsia="Times New Roman" w:hAnsi="Times New Roman" w:cs="Times New Roman"/>
          <w:sz w:val="24"/>
          <w:szCs w:val="24"/>
          <w:lang w:eastAsia="it-IT"/>
        </w:rPr>
        <w:t xml:space="preserve">Inoltre, sempre in forza della norma dettata dal citato comma 2, la responsabilità solidale grava sul committente imprenditore o datore di lavoro, con esclusione, quindi, delle ipotesi in cui il committente sia una persona fisica che non esercita attività di impresa o professionale (come disposto dal successivo comma 3-ter). </w:t>
      </w:r>
    </w:p>
    <w:p w:rsidR="00592B61" w:rsidRPr="00592B61" w:rsidRDefault="00592B61" w:rsidP="00592B61">
      <w:pPr>
        <w:spacing w:before="100" w:beforeAutospacing="1" w:after="100" w:afterAutospacing="1" w:line="240" w:lineRule="auto"/>
        <w:rPr>
          <w:rFonts w:ascii="Times New Roman" w:eastAsia="Times New Roman" w:hAnsi="Times New Roman" w:cs="Times New Roman"/>
          <w:sz w:val="24"/>
          <w:szCs w:val="24"/>
          <w:lang w:eastAsia="it-IT"/>
        </w:rPr>
      </w:pPr>
      <w:r w:rsidRPr="00592B61">
        <w:rPr>
          <w:rFonts w:ascii="Times New Roman" w:eastAsia="Times New Roman" w:hAnsi="Times New Roman" w:cs="Times New Roman"/>
          <w:sz w:val="24"/>
          <w:szCs w:val="24"/>
          <w:lang w:eastAsia="it-IT"/>
        </w:rPr>
        <w:t xml:space="preserve">Deve, poi, trattarsi di “appalto privato”, giacché – come precisato dall’art. 9, comma 1, del decreto-legge 28 giugno 2013, n. 76, recante «Primi interventi urgenti per la promozione dell’occupazione, in particolare giovanile, della coesione sociale, nonché in materia di Imposta sul valore aggiunto (IVA) e altre misure finanziarie urgenti», convertito, con modificazioni, dalla legge 9 agosto 2013, n. 99 – il comma 2 dell’art. 29 non è applicabile in relazione ai contratti di appalto stipulati dalle pubbliche amministrazioni di cui all’art. 1, comma 2, del decreto legislativo 30 marzo 2001, n. 165 (Norme generali sull’ordinamento del lavoro alle dipendenze delle amministrazioni pubbliche). </w:t>
      </w:r>
    </w:p>
    <w:p w:rsidR="00592B61" w:rsidRPr="00592B61" w:rsidRDefault="00592B61" w:rsidP="00592B61">
      <w:pPr>
        <w:spacing w:before="100" w:beforeAutospacing="1" w:after="100" w:afterAutospacing="1" w:line="240" w:lineRule="auto"/>
        <w:rPr>
          <w:rFonts w:ascii="Times New Roman" w:eastAsia="Times New Roman" w:hAnsi="Times New Roman" w:cs="Times New Roman"/>
          <w:sz w:val="24"/>
          <w:szCs w:val="24"/>
          <w:lang w:eastAsia="it-IT"/>
        </w:rPr>
      </w:pPr>
      <w:r w:rsidRPr="00592B61">
        <w:rPr>
          <w:rFonts w:ascii="Times New Roman" w:eastAsia="Times New Roman" w:hAnsi="Times New Roman" w:cs="Times New Roman"/>
          <w:sz w:val="24"/>
          <w:szCs w:val="24"/>
          <w:lang w:eastAsia="it-IT"/>
        </w:rPr>
        <w:t xml:space="preserve">Peraltro, l’art. 9 del citato </w:t>
      </w:r>
      <w:proofErr w:type="spellStart"/>
      <w:r w:rsidRPr="00592B61">
        <w:rPr>
          <w:rFonts w:ascii="Times New Roman" w:eastAsia="Times New Roman" w:hAnsi="Times New Roman" w:cs="Times New Roman"/>
          <w:sz w:val="24"/>
          <w:szCs w:val="24"/>
          <w:lang w:eastAsia="it-IT"/>
        </w:rPr>
        <w:t>d.l.</w:t>
      </w:r>
      <w:proofErr w:type="spellEnd"/>
      <w:r w:rsidRPr="00592B61">
        <w:rPr>
          <w:rFonts w:ascii="Times New Roman" w:eastAsia="Times New Roman" w:hAnsi="Times New Roman" w:cs="Times New Roman"/>
          <w:sz w:val="24"/>
          <w:szCs w:val="24"/>
          <w:lang w:eastAsia="it-IT"/>
        </w:rPr>
        <w:t xml:space="preserve"> n. 76 del 2013 ha esteso il regime della solidarietà anche in relazione ai compensi e agli obblighi di natura previdenziale e assicurativa nei confronti dei lavoratori con contratto di lavoro autonomo. </w:t>
      </w:r>
    </w:p>
    <w:p w:rsidR="00592B61" w:rsidRPr="00592B61" w:rsidRDefault="00592B61" w:rsidP="00592B61">
      <w:pPr>
        <w:spacing w:before="100" w:beforeAutospacing="1" w:after="100" w:afterAutospacing="1" w:line="240" w:lineRule="auto"/>
        <w:rPr>
          <w:rFonts w:ascii="Times New Roman" w:eastAsia="Times New Roman" w:hAnsi="Times New Roman" w:cs="Times New Roman"/>
          <w:sz w:val="24"/>
          <w:szCs w:val="24"/>
          <w:lang w:eastAsia="it-IT"/>
        </w:rPr>
      </w:pPr>
      <w:r w:rsidRPr="00592B61">
        <w:rPr>
          <w:rFonts w:ascii="Times New Roman" w:eastAsia="Times New Roman" w:hAnsi="Times New Roman" w:cs="Times New Roman"/>
          <w:sz w:val="24"/>
          <w:szCs w:val="24"/>
          <w:lang w:eastAsia="it-IT"/>
        </w:rPr>
        <w:lastRenderedPageBreak/>
        <w:t xml:space="preserve">Il comma 2 dell’art. 29 detta, poi, la disciplina processuale della solidarietà, per le obbligazioni anzidette, di committente e appaltatore, i quali devono essere convenuti «unitamente» in giudizio, con la facoltà del committente di eccepire, nella prima difesa, il </w:t>
      </w:r>
      <w:proofErr w:type="spellStart"/>
      <w:r w:rsidRPr="00592B61">
        <w:rPr>
          <w:rFonts w:ascii="Times New Roman" w:eastAsia="Times New Roman" w:hAnsi="Times New Roman" w:cs="Times New Roman"/>
          <w:sz w:val="24"/>
          <w:szCs w:val="24"/>
          <w:lang w:eastAsia="it-IT"/>
        </w:rPr>
        <w:t>beneficium</w:t>
      </w:r>
      <w:proofErr w:type="spellEnd"/>
      <w:r w:rsidRPr="00592B61">
        <w:rPr>
          <w:rFonts w:ascii="Times New Roman" w:eastAsia="Times New Roman" w:hAnsi="Times New Roman" w:cs="Times New Roman"/>
          <w:sz w:val="24"/>
          <w:szCs w:val="24"/>
          <w:lang w:eastAsia="it-IT"/>
        </w:rPr>
        <w:t xml:space="preserve"> </w:t>
      </w:r>
      <w:proofErr w:type="spellStart"/>
      <w:r w:rsidRPr="00592B61">
        <w:rPr>
          <w:rFonts w:ascii="Times New Roman" w:eastAsia="Times New Roman" w:hAnsi="Times New Roman" w:cs="Times New Roman"/>
          <w:sz w:val="24"/>
          <w:szCs w:val="24"/>
          <w:lang w:eastAsia="it-IT"/>
        </w:rPr>
        <w:t>excussionis</w:t>
      </w:r>
      <w:proofErr w:type="spellEnd"/>
      <w:r w:rsidRPr="00592B61">
        <w:rPr>
          <w:rFonts w:ascii="Times New Roman" w:eastAsia="Times New Roman" w:hAnsi="Times New Roman" w:cs="Times New Roman"/>
          <w:sz w:val="24"/>
          <w:szCs w:val="24"/>
          <w:lang w:eastAsia="it-IT"/>
        </w:rPr>
        <w:t xml:space="preserve"> in relazione al patrimonio dell’appaltatore (o degli eventuali subappaltatori). </w:t>
      </w:r>
    </w:p>
    <w:p w:rsidR="00592B61" w:rsidRPr="00592B61" w:rsidRDefault="00592B61" w:rsidP="00592B61">
      <w:pPr>
        <w:spacing w:before="100" w:beforeAutospacing="1" w:after="100" w:afterAutospacing="1" w:line="240" w:lineRule="auto"/>
        <w:rPr>
          <w:rFonts w:ascii="Times New Roman" w:eastAsia="Times New Roman" w:hAnsi="Times New Roman" w:cs="Times New Roman"/>
          <w:sz w:val="24"/>
          <w:szCs w:val="24"/>
          <w:lang w:eastAsia="it-IT"/>
        </w:rPr>
      </w:pPr>
      <w:r w:rsidRPr="00592B61">
        <w:rPr>
          <w:rFonts w:ascii="Times New Roman" w:eastAsia="Times New Roman" w:hAnsi="Times New Roman" w:cs="Times New Roman"/>
          <w:sz w:val="24"/>
          <w:szCs w:val="24"/>
          <w:lang w:eastAsia="it-IT"/>
        </w:rPr>
        <w:t xml:space="preserve">Ove l’eccezione sia tempestiva, il giudice accerta la responsabilità di tutti gli obbligati, ma il lavoratore non potrà agire in </w:t>
      </w:r>
      <w:proofErr w:type="spellStart"/>
      <w:r w:rsidRPr="00592B61">
        <w:rPr>
          <w:rFonts w:ascii="Times New Roman" w:eastAsia="Times New Roman" w:hAnsi="Times New Roman" w:cs="Times New Roman"/>
          <w:sz w:val="24"/>
          <w:szCs w:val="24"/>
          <w:lang w:eastAsia="it-IT"/>
        </w:rPr>
        <w:t>executivis</w:t>
      </w:r>
      <w:proofErr w:type="spellEnd"/>
      <w:r w:rsidRPr="00592B61">
        <w:rPr>
          <w:rFonts w:ascii="Times New Roman" w:eastAsia="Times New Roman" w:hAnsi="Times New Roman" w:cs="Times New Roman"/>
          <w:sz w:val="24"/>
          <w:szCs w:val="24"/>
          <w:lang w:eastAsia="it-IT"/>
        </w:rPr>
        <w:t xml:space="preserve"> contro il committente prima di aver escusso infruttuosamente il patrimonio dell’appaltatore (e degli eventuali subappaltatori). </w:t>
      </w:r>
    </w:p>
    <w:p w:rsidR="00592B61" w:rsidRPr="00592B61" w:rsidRDefault="00592B61" w:rsidP="00592B61">
      <w:pPr>
        <w:spacing w:before="100" w:beforeAutospacing="1" w:after="100" w:afterAutospacing="1" w:line="240" w:lineRule="auto"/>
        <w:rPr>
          <w:rFonts w:ascii="Times New Roman" w:eastAsia="Times New Roman" w:hAnsi="Times New Roman" w:cs="Times New Roman"/>
          <w:sz w:val="24"/>
          <w:szCs w:val="24"/>
          <w:lang w:eastAsia="it-IT"/>
        </w:rPr>
      </w:pPr>
      <w:r w:rsidRPr="00592B61">
        <w:rPr>
          <w:rFonts w:ascii="Times New Roman" w:eastAsia="Times New Roman" w:hAnsi="Times New Roman" w:cs="Times New Roman"/>
          <w:sz w:val="24"/>
          <w:szCs w:val="24"/>
          <w:lang w:eastAsia="it-IT"/>
        </w:rPr>
        <w:t xml:space="preserve">Infine, l’ultima parte del comma 2 – non interessata dalla richiesta referendaria regola, in base ai principi generali, l’assolvimento degli obblighi del sostituto di imposta da parte del committente che ha eseguito il pagamento, nonché l’azione di regresso in suo favore. </w:t>
      </w:r>
    </w:p>
    <w:p w:rsidR="00592B61" w:rsidRPr="00592B61" w:rsidRDefault="00592B61" w:rsidP="00592B61">
      <w:pPr>
        <w:spacing w:before="100" w:beforeAutospacing="1" w:after="100" w:afterAutospacing="1" w:line="240" w:lineRule="auto"/>
        <w:rPr>
          <w:rFonts w:ascii="Times New Roman" w:eastAsia="Times New Roman" w:hAnsi="Times New Roman" w:cs="Times New Roman"/>
          <w:sz w:val="24"/>
          <w:szCs w:val="24"/>
          <w:lang w:eastAsia="it-IT"/>
        </w:rPr>
      </w:pPr>
      <w:r w:rsidRPr="00592B61">
        <w:rPr>
          <w:rFonts w:ascii="Times New Roman" w:eastAsia="Times New Roman" w:hAnsi="Times New Roman" w:cs="Times New Roman"/>
          <w:sz w:val="24"/>
          <w:szCs w:val="24"/>
          <w:lang w:eastAsia="it-IT"/>
        </w:rPr>
        <w:t xml:space="preserve">5.– Il quesito, che investe la deroga al regime di responsabilità solidale che può essere apportata dalla contrattazione collettiva e la disciplina processuale sopra richiamata, è ammissibile. </w:t>
      </w:r>
    </w:p>
    <w:p w:rsidR="00592B61" w:rsidRPr="00592B61" w:rsidRDefault="00592B61" w:rsidP="00592B61">
      <w:pPr>
        <w:spacing w:before="100" w:beforeAutospacing="1" w:after="100" w:afterAutospacing="1" w:line="240" w:lineRule="auto"/>
        <w:rPr>
          <w:rFonts w:ascii="Times New Roman" w:eastAsia="Times New Roman" w:hAnsi="Times New Roman" w:cs="Times New Roman"/>
          <w:sz w:val="24"/>
          <w:szCs w:val="24"/>
          <w:lang w:eastAsia="it-IT"/>
        </w:rPr>
      </w:pPr>
      <w:r w:rsidRPr="00592B61">
        <w:rPr>
          <w:rFonts w:ascii="Times New Roman" w:eastAsia="Times New Roman" w:hAnsi="Times New Roman" w:cs="Times New Roman"/>
          <w:sz w:val="24"/>
          <w:szCs w:val="24"/>
          <w:lang w:eastAsia="it-IT"/>
        </w:rPr>
        <w:t xml:space="preserve">6.– Nessuna preclusione proviene dai divieti posti dall’art. 75, secondo comma, </w:t>
      </w:r>
      <w:proofErr w:type="spellStart"/>
      <w:r w:rsidRPr="00592B61">
        <w:rPr>
          <w:rFonts w:ascii="Times New Roman" w:eastAsia="Times New Roman" w:hAnsi="Times New Roman" w:cs="Times New Roman"/>
          <w:sz w:val="24"/>
          <w:szCs w:val="24"/>
          <w:lang w:eastAsia="it-IT"/>
        </w:rPr>
        <w:t>Cost</w:t>
      </w:r>
      <w:proofErr w:type="spellEnd"/>
      <w:r w:rsidRPr="00592B61">
        <w:rPr>
          <w:rFonts w:ascii="Times New Roman" w:eastAsia="Times New Roman" w:hAnsi="Times New Roman" w:cs="Times New Roman"/>
          <w:sz w:val="24"/>
          <w:szCs w:val="24"/>
          <w:lang w:eastAsia="it-IT"/>
        </w:rPr>
        <w:t xml:space="preserve">., né da profili attinenti a disposizioni legislative ordinarie a contenuto costituzionalmente obbligato. </w:t>
      </w:r>
    </w:p>
    <w:p w:rsidR="00592B61" w:rsidRPr="00592B61" w:rsidRDefault="00592B61" w:rsidP="00592B61">
      <w:pPr>
        <w:spacing w:before="100" w:beforeAutospacing="1" w:after="100" w:afterAutospacing="1" w:line="240" w:lineRule="auto"/>
        <w:rPr>
          <w:rFonts w:ascii="Times New Roman" w:eastAsia="Times New Roman" w:hAnsi="Times New Roman" w:cs="Times New Roman"/>
          <w:sz w:val="24"/>
          <w:szCs w:val="24"/>
          <w:lang w:eastAsia="it-IT"/>
        </w:rPr>
      </w:pPr>
      <w:r w:rsidRPr="00592B61">
        <w:rPr>
          <w:rFonts w:ascii="Times New Roman" w:eastAsia="Times New Roman" w:hAnsi="Times New Roman" w:cs="Times New Roman"/>
          <w:sz w:val="24"/>
          <w:szCs w:val="24"/>
          <w:lang w:eastAsia="it-IT"/>
        </w:rPr>
        <w:t xml:space="preserve">Non colgono nel segno neppure i rilievi di inammissibilità sollevati dall’Avvocatura generale dello Stato, giacché, in sede di controllo di ammissibilità dei referendum, il relativo giudizio non può investire profili di illegittimità costituzionale della legge oggetto della richiesta referendaria o della normativa di risulta (tra le altre, sentenza n. 13 del 2012), là dove, peraltro, proprio la normativa di risulta, nel caso della richiesta abrogativa in esame, manterrebbe intatta la sua specialità rispetto alla disciplina dell’art. 1676 del codice civile, già solo considerando (tra i vari aspetti di diversificazione) che tale ultima norma trova applicazione anche negli appalti pubblici. </w:t>
      </w:r>
    </w:p>
    <w:p w:rsidR="00592B61" w:rsidRPr="00592B61" w:rsidRDefault="00592B61" w:rsidP="00592B61">
      <w:pPr>
        <w:spacing w:before="100" w:beforeAutospacing="1" w:after="100" w:afterAutospacing="1" w:line="240" w:lineRule="auto"/>
        <w:rPr>
          <w:rFonts w:ascii="Times New Roman" w:eastAsia="Times New Roman" w:hAnsi="Times New Roman" w:cs="Times New Roman"/>
          <w:sz w:val="24"/>
          <w:szCs w:val="24"/>
          <w:lang w:eastAsia="it-IT"/>
        </w:rPr>
      </w:pPr>
      <w:r w:rsidRPr="00592B61">
        <w:rPr>
          <w:rFonts w:ascii="Times New Roman" w:eastAsia="Times New Roman" w:hAnsi="Times New Roman" w:cs="Times New Roman"/>
          <w:sz w:val="24"/>
          <w:szCs w:val="24"/>
          <w:lang w:eastAsia="it-IT"/>
        </w:rPr>
        <w:t xml:space="preserve">7.– Il quesito risponde, poi, ai requisiti di chiarezza, univocità e omogeneità, anche se formulato con la cosiddetta tecnica del ritaglio (sentenze n. 26 e n. 28 del 2011). </w:t>
      </w:r>
    </w:p>
    <w:p w:rsidR="00592B61" w:rsidRPr="00592B61" w:rsidRDefault="00592B61" w:rsidP="00592B61">
      <w:pPr>
        <w:spacing w:before="100" w:beforeAutospacing="1" w:after="100" w:afterAutospacing="1" w:line="240" w:lineRule="auto"/>
        <w:rPr>
          <w:rFonts w:ascii="Times New Roman" w:eastAsia="Times New Roman" w:hAnsi="Times New Roman" w:cs="Times New Roman"/>
          <w:sz w:val="24"/>
          <w:szCs w:val="24"/>
          <w:lang w:eastAsia="it-IT"/>
        </w:rPr>
      </w:pPr>
      <w:r w:rsidRPr="00592B61">
        <w:rPr>
          <w:rFonts w:ascii="Times New Roman" w:eastAsia="Times New Roman" w:hAnsi="Times New Roman" w:cs="Times New Roman"/>
          <w:sz w:val="24"/>
          <w:szCs w:val="24"/>
          <w:lang w:eastAsia="it-IT"/>
        </w:rPr>
        <w:t xml:space="preserve">Esso si incentra su un medesimo istituto (quello della responsabilità solidale negli appalti a tutela della posizione dei lavoratori in essi impiegati) interamente disciplinato all’interno dello stesso comma 2 dell’art. 29 del d.lgs. n. 276 del 2003, proponendo l’ablazione di due (corpi di) disposizioni autonome, in esso presenti, rispetto a quella che persiste di risulta. </w:t>
      </w:r>
    </w:p>
    <w:p w:rsidR="00592B61" w:rsidRPr="00592B61" w:rsidRDefault="00592B61" w:rsidP="00592B61">
      <w:pPr>
        <w:spacing w:before="100" w:beforeAutospacing="1" w:after="100" w:afterAutospacing="1" w:line="240" w:lineRule="auto"/>
        <w:rPr>
          <w:rFonts w:ascii="Times New Roman" w:eastAsia="Times New Roman" w:hAnsi="Times New Roman" w:cs="Times New Roman"/>
          <w:sz w:val="24"/>
          <w:szCs w:val="24"/>
          <w:lang w:eastAsia="it-IT"/>
        </w:rPr>
      </w:pPr>
      <w:r w:rsidRPr="00592B61">
        <w:rPr>
          <w:rFonts w:ascii="Times New Roman" w:eastAsia="Times New Roman" w:hAnsi="Times New Roman" w:cs="Times New Roman"/>
          <w:sz w:val="24"/>
          <w:szCs w:val="24"/>
          <w:lang w:eastAsia="it-IT"/>
        </w:rPr>
        <w:t xml:space="preserve">In altri termini, l’ablazione riguarda la deroga al regime di responsabilità solidale consentita alla contrattazione collettiva nazionale e la articolata disciplina processuale dell’azione esperibile dal lavoratore; mentre, ciò che rimane in vita, secondo il quesito, è la disciplina sostanziale della responsabilità solidale negli appalti, comprensiva degli obblighi tributari e dell’azione di regresso del committente. </w:t>
      </w:r>
    </w:p>
    <w:p w:rsidR="00592B61" w:rsidRPr="00592B61" w:rsidRDefault="00592B61" w:rsidP="00592B61">
      <w:pPr>
        <w:spacing w:before="100" w:beforeAutospacing="1" w:after="100" w:afterAutospacing="1" w:line="240" w:lineRule="auto"/>
        <w:rPr>
          <w:rFonts w:ascii="Times New Roman" w:eastAsia="Times New Roman" w:hAnsi="Times New Roman" w:cs="Times New Roman"/>
          <w:sz w:val="24"/>
          <w:szCs w:val="24"/>
          <w:lang w:eastAsia="it-IT"/>
        </w:rPr>
      </w:pPr>
      <w:r w:rsidRPr="00592B61">
        <w:rPr>
          <w:rFonts w:ascii="Times New Roman" w:eastAsia="Times New Roman" w:hAnsi="Times New Roman" w:cs="Times New Roman"/>
          <w:sz w:val="24"/>
          <w:szCs w:val="24"/>
          <w:lang w:eastAsia="it-IT"/>
        </w:rPr>
        <w:t xml:space="preserve">Sicché, l’elettore è chiaramente posto nell’alternativa di mantenere ferma l’attuale disciplina del comma 2 dell’art. 29, ovvero depurarla, “seccamente”, dei profili anzidetti, per lasciare intatta soltanto la disciplina sostanziale sulla responsabilità solidale di committente (imprenditore o datore di lavoro) e appaltatore e eventuali subappaltatori, ristabilendo, sostanzialmente, il testo della norma come scritto dalla legge 27 dicembre 2006, n. 296, recante «Disposizioni per la formazione del bilancio annuale e pluriennale dello Stato (legge finanziaria 2007)», poi rimodulato dai successivi interventi novellatori. </w:t>
      </w:r>
    </w:p>
    <w:p w:rsidR="00592B61" w:rsidRPr="00592B61" w:rsidRDefault="00592B61" w:rsidP="00592B61">
      <w:pPr>
        <w:spacing w:before="100" w:beforeAutospacing="1" w:after="100" w:afterAutospacing="1" w:line="240" w:lineRule="auto"/>
        <w:rPr>
          <w:rFonts w:ascii="Times New Roman" w:eastAsia="Times New Roman" w:hAnsi="Times New Roman" w:cs="Times New Roman"/>
          <w:sz w:val="24"/>
          <w:szCs w:val="24"/>
          <w:lang w:eastAsia="it-IT"/>
        </w:rPr>
      </w:pPr>
      <w:r w:rsidRPr="00592B61">
        <w:rPr>
          <w:rFonts w:ascii="Times New Roman" w:eastAsia="Times New Roman" w:hAnsi="Times New Roman" w:cs="Times New Roman"/>
          <w:sz w:val="24"/>
          <w:szCs w:val="24"/>
          <w:lang w:eastAsia="it-IT"/>
        </w:rPr>
        <w:t xml:space="preserve">Dunque, il quesito – che incide su profili accessori e non connaturati o essenziali rispetto alla disciplina della solidarietà per le obbligazioni relative a crediti maturati dal prestatore impiegato </w:t>
      </w:r>
      <w:r w:rsidRPr="00592B61">
        <w:rPr>
          <w:rFonts w:ascii="Times New Roman" w:eastAsia="Times New Roman" w:hAnsi="Times New Roman" w:cs="Times New Roman"/>
          <w:sz w:val="24"/>
          <w:szCs w:val="24"/>
          <w:lang w:eastAsia="it-IT"/>
        </w:rPr>
        <w:lastRenderedPageBreak/>
        <w:t xml:space="preserve">nell’appalto (che risponde alle regole generali di cui agli artt. 1292 e seguenti cod. civ.) – palesa una matrice razionalmente unitaria ed evidenzia i caratteri della chiarezza ed omogeneità. </w:t>
      </w:r>
    </w:p>
    <w:p w:rsidR="00592B61" w:rsidRPr="00592B61" w:rsidRDefault="00592B61" w:rsidP="00592B61">
      <w:pPr>
        <w:spacing w:after="0" w:line="240" w:lineRule="auto"/>
        <w:rPr>
          <w:rFonts w:ascii="Times New Roman" w:eastAsia="Times New Roman" w:hAnsi="Times New Roman" w:cs="Times New Roman"/>
          <w:sz w:val="24"/>
          <w:szCs w:val="24"/>
          <w:lang w:eastAsia="it-IT"/>
        </w:rPr>
      </w:pPr>
      <w:r w:rsidRPr="00592B61">
        <w:rPr>
          <w:rFonts w:ascii="Times New Roman" w:eastAsia="Times New Roman" w:hAnsi="Times New Roman" w:cs="Times New Roman"/>
          <w:sz w:val="24"/>
          <w:szCs w:val="24"/>
          <w:lang w:eastAsia="it-IT"/>
        </w:rPr>
        <w:br/>
      </w:r>
      <w:bookmarkStart w:id="3" w:name="dispositivo"/>
      <w:bookmarkEnd w:id="3"/>
    </w:p>
    <w:p w:rsidR="00592B61" w:rsidRPr="00592B61" w:rsidRDefault="00592B61" w:rsidP="00592B61">
      <w:pPr>
        <w:spacing w:before="100" w:beforeAutospacing="1" w:after="100" w:afterAutospacing="1" w:line="240" w:lineRule="auto"/>
        <w:rPr>
          <w:rFonts w:ascii="Times New Roman" w:eastAsia="Times New Roman" w:hAnsi="Times New Roman" w:cs="Times New Roman"/>
          <w:sz w:val="24"/>
          <w:szCs w:val="24"/>
          <w:lang w:eastAsia="it-IT"/>
        </w:rPr>
      </w:pPr>
      <w:r w:rsidRPr="00592B61">
        <w:rPr>
          <w:rFonts w:ascii="Times New Roman" w:eastAsia="Times New Roman" w:hAnsi="Times New Roman" w:cs="Times New Roman"/>
          <w:sz w:val="24"/>
          <w:szCs w:val="24"/>
          <w:lang w:eastAsia="it-IT"/>
        </w:rPr>
        <w:t xml:space="preserve">per questi motivi </w:t>
      </w:r>
    </w:p>
    <w:p w:rsidR="00592B61" w:rsidRPr="00592B61" w:rsidRDefault="00592B61" w:rsidP="00592B61">
      <w:pPr>
        <w:spacing w:before="100" w:beforeAutospacing="1" w:after="100" w:afterAutospacing="1" w:line="240" w:lineRule="auto"/>
        <w:rPr>
          <w:rFonts w:ascii="Times New Roman" w:eastAsia="Times New Roman" w:hAnsi="Times New Roman" w:cs="Times New Roman"/>
          <w:sz w:val="24"/>
          <w:szCs w:val="24"/>
          <w:lang w:eastAsia="it-IT"/>
        </w:rPr>
      </w:pPr>
      <w:r w:rsidRPr="00592B61">
        <w:rPr>
          <w:rFonts w:ascii="Times New Roman" w:eastAsia="Times New Roman" w:hAnsi="Times New Roman" w:cs="Times New Roman"/>
          <w:sz w:val="24"/>
          <w:szCs w:val="24"/>
          <w:lang w:eastAsia="it-IT"/>
        </w:rPr>
        <w:t xml:space="preserve">LA CORTE COSTITUZIONALE </w:t>
      </w:r>
    </w:p>
    <w:p w:rsidR="00592B61" w:rsidRPr="00592B61" w:rsidRDefault="00592B61" w:rsidP="00592B61">
      <w:pPr>
        <w:spacing w:before="100" w:beforeAutospacing="1" w:after="100" w:afterAutospacing="1" w:line="240" w:lineRule="auto"/>
        <w:rPr>
          <w:rFonts w:ascii="Times New Roman" w:eastAsia="Times New Roman" w:hAnsi="Times New Roman" w:cs="Times New Roman"/>
          <w:sz w:val="24"/>
          <w:szCs w:val="24"/>
          <w:lang w:eastAsia="it-IT"/>
        </w:rPr>
      </w:pPr>
      <w:r w:rsidRPr="00592B61">
        <w:rPr>
          <w:rFonts w:ascii="Times New Roman" w:eastAsia="Times New Roman" w:hAnsi="Times New Roman" w:cs="Times New Roman"/>
          <w:sz w:val="24"/>
          <w:szCs w:val="24"/>
          <w:lang w:eastAsia="it-IT"/>
        </w:rPr>
        <w:t xml:space="preserve">dichiara ammissibile la richiesta di referendum popolare per l’abrogazione dell’art. 29, comma 2, del decreto legislativo 10 settembre 2003, n. 276 (Attuazione delle deleghe in materia di occupazione e mercato del lavoro, di cui alla legge 14 febbraio 2003, n. 30), limitatamente alle parole «Salvo diversa disposizione dei contratti collettivi nazionali sottoscritti da associazioni dei datori di lavoro e dei lavoratori comparativamente più rappresentative del settore che possono individuare metodi e procedure di controllo e di verifica della regolarità complessiva degli appalti,» e alle parole «Il committente imprenditore o datore di lavoro è convenuto in giudizio per il pagamento unitamente all’appaltatore e con gli eventuali ulteriori subappaltatori. Il committente imprenditore o datore di lavoro può eccepire, nella prima difesa, il beneficio della preventiva escussione del patrimonio dell’appaltatore medesimo e degli eventuali subappaltatori. In tal caso il giudice accerta la responsabilità solidale di tutti gli obbligati, ma l’azione esecutiva può essere intentata nei confronti del committente imprenditore o datore di lavoro solo dopo l’infruttuosa escussione del patrimonio dell’appaltatore e degli eventuali subappaltatori.», richiesta dichiarata legittima, con ordinanza pronunciata il 9 dicembre 2016, dall’Ufficio centrale per il referendum, costituito presso la Corte di cassazione. </w:t>
      </w:r>
    </w:p>
    <w:p w:rsidR="00592B61" w:rsidRPr="00592B61" w:rsidRDefault="00592B61" w:rsidP="00592B61">
      <w:pPr>
        <w:spacing w:before="100" w:beforeAutospacing="1" w:after="100" w:afterAutospacing="1" w:line="240" w:lineRule="auto"/>
        <w:rPr>
          <w:rFonts w:ascii="Times New Roman" w:eastAsia="Times New Roman" w:hAnsi="Times New Roman" w:cs="Times New Roman"/>
          <w:sz w:val="24"/>
          <w:szCs w:val="24"/>
          <w:lang w:eastAsia="it-IT"/>
        </w:rPr>
      </w:pPr>
      <w:r w:rsidRPr="00592B61">
        <w:rPr>
          <w:rFonts w:ascii="Times New Roman" w:eastAsia="Times New Roman" w:hAnsi="Times New Roman" w:cs="Times New Roman"/>
          <w:sz w:val="24"/>
          <w:szCs w:val="24"/>
          <w:lang w:eastAsia="it-IT"/>
        </w:rPr>
        <w:t xml:space="preserve">Così deciso in Roma, nella sede della Corte costituzionale, Palazzo della Consulta, l’11 gennaio 2017. </w:t>
      </w:r>
    </w:p>
    <w:p w:rsidR="00592B61" w:rsidRPr="00592B61" w:rsidRDefault="00592B61" w:rsidP="00592B61">
      <w:pPr>
        <w:spacing w:before="100" w:beforeAutospacing="1" w:after="100" w:afterAutospacing="1" w:line="240" w:lineRule="auto"/>
        <w:rPr>
          <w:rFonts w:ascii="Times New Roman" w:eastAsia="Times New Roman" w:hAnsi="Times New Roman" w:cs="Times New Roman"/>
          <w:sz w:val="24"/>
          <w:szCs w:val="24"/>
          <w:lang w:eastAsia="it-IT"/>
        </w:rPr>
      </w:pPr>
      <w:r w:rsidRPr="00592B61">
        <w:rPr>
          <w:rFonts w:ascii="Times New Roman" w:eastAsia="Times New Roman" w:hAnsi="Times New Roman" w:cs="Times New Roman"/>
          <w:sz w:val="24"/>
          <w:szCs w:val="24"/>
          <w:lang w:eastAsia="it-IT"/>
        </w:rPr>
        <w:t xml:space="preserve">F.to: </w:t>
      </w:r>
    </w:p>
    <w:p w:rsidR="00592B61" w:rsidRPr="00592B61" w:rsidRDefault="00592B61" w:rsidP="00592B61">
      <w:pPr>
        <w:spacing w:before="100" w:beforeAutospacing="1" w:after="100" w:afterAutospacing="1" w:line="240" w:lineRule="auto"/>
        <w:rPr>
          <w:rFonts w:ascii="Times New Roman" w:eastAsia="Times New Roman" w:hAnsi="Times New Roman" w:cs="Times New Roman"/>
          <w:sz w:val="24"/>
          <w:szCs w:val="24"/>
          <w:lang w:eastAsia="it-IT"/>
        </w:rPr>
      </w:pPr>
      <w:r w:rsidRPr="00592B61">
        <w:rPr>
          <w:rFonts w:ascii="Times New Roman" w:eastAsia="Times New Roman" w:hAnsi="Times New Roman" w:cs="Times New Roman"/>
          <w:sz w:val="24"/>
          <w:szCs w:val="24"/>
          <w:lang w:eastAsia="it-IT"/>
        </w:rPr>
        <w:t xml:space="preserve">Paolo GROSSI, Presidente </w:t>
      </w:r>
    </w:p>
    <w:p w:rsidR="00592B61" w:rsidRPr="00592B61" w:rsidRDefault="00592B61" w:rsidP="00592B61">
      <w:pPr>
        <w:spacing w:before="100" w:beforeAutospacing="1" w:after="100" w:afterAutospacing="1" w:line="240" w:lineRule="auto"/>
        <w:rPr>
          <w:rFonts w:ascii="Times New Roman" w:eastAsia="Times New Roman" w:hAnsi="Times New Roman" w:cs="Times New Roman"/>
          <w:sz w:val="24"/>
          <w:szCs w:val="24"/>
          <w:lang w:eastAsia="it-IT"/>
        </w:rPr>
      </w:pPr>
      <w:r w:rsidRPr="00592B61">
        <w:rPr>
          <w:rFonts w:ascii="Times New Roman" w:eastAsia="Times New Roman" w:hAnsi="Times New Roman" w:cs="Times New Roman"/>
          <w:sz w:val="24"/>
          <w:szCs w:val="24"/>
          <w:lang w:eastAsia="it-IT"/>
        </w:rPr>
        <w:t xml:space="preserve">Mario Rosario MORELLI, Redattore </w:t>
      </w:r>
    </w:p>
    <w:p w:rsidR="00592B61" w:rsidRPr="00592B61" w:rsidRDefault="00592B61" w:rsidP="00592B61">
      <w:pPr>
        <w:spacing w:before="100" w:beforeAutospacing="1" w:after="100" w:afterAutospacing="1" w:line="240" w:lineRule="auto"/>
        <w:rPr>
          <w:rFonts w:ascii="Times New Roman" w:eastAsia="Times New Roman" w:hAnsi="Times New Roman" w:cs="Times New Roman"/>
          <w:sz w:val="24"/>
          <w:szCs w:val="24"/>
          <w:lang w:eastAsia="it-IT"/>
        </w:rPr>
      </w:pPr>
      <w:r w:rsidRPr="00592B61">
        <w:rPr>
          <w:rFonts w:ascii="Times New Roman" w:eastAsia="Times New Roman" w:hAnsi="Times New Roman" w:cs="Times New Roman"/>
          <w:sz w:val="24"/>
          <w:szCs w:val="24"/>
          <w:lang w:eastAsia="it-IT"/>
        </w:rPr>
        <w:t xml:space="preserve">Roberto MILANA, Cancelliere </w:t>
      </w:r>
    </w:p>
    <w:p w:rsidR="00592B61" w:rsidRPr="00592B61" w:rsidRDefault="00592B61" w:rsidP="00592B61">
      <w:pPr>
        <w:spacing w:before="100" w:beforeAutospacing="1" w:after="100" w:afterAutospacing="1" w:line="240" w:lineRule="auto"/>
        <w:rPr>
          <w:rFonts w:ascii="Times New Roman" w:eastAsia="Times New Roman" w:hAnsi="Times New Roman" w:cs="Times New Roman"/>
          <w:sz w:val="24"/>
          <w:szCs w:val="24"/>
          <w:lang w:eastAsia="it-IT"/>
        </w:rPr>
      </w:pPr>
      <w:r w:rsidRPr="00592B61">
        <w:rPr>
          <w:rFonts w:ascii="Times New Roman" w:eastAsia="Times New Roman" w:hAnsi="Times New Roman" w:cs="Times New Roman"/>
          <w:sz w:val="24"/>
          <w:szCs w:val="24"/>
          <w:lang w:eastAsia="it-IT"/>
        </w:rPr>
        <w:t xml:space="preserve">Depositata in Cancelleria il 27 gennaio 2017. </w:t>
      </w:r>
    </w:p>
    <w:p w:rsidR="00592B61" w:rsidRPr="00592B61" w:rsidRDefault="00592B61" w:rsidP="00592B61">
      <w:pPr>
        <w:spacing w:before="100" w:beforeAutospacing="1" w:after="100" w:afterAutospacing="1" w:line="240" w:lineRule="auto"/>
        <w:rPr>
          <w:rFonts w:ascii="Times New Roman" w:eastAsia="Times New Roman" w:hAnsi="Times New Roman" w:cs="Times New Roman"/>
          <w:sz w:val="24"/>
          <w:szCs w:val="24"/>
          <w:lang w:eastAsia="it-IT"/>
        </w:rPr>
      </w:pPr>
      <w:r w:rsidRPr="00592B61">
        <w:rPr>
          <w:rFonts w:ascii="Times New Roman" w:eastAsia="Times New Roman" w:hAnsi="Times New Roman" w:cs="Times New Roman"/>
          <w:sz w:val="24"/>
          <w:szCs w:val="24"/>
          <w:lang w:eastAsia="it-IT"/>
        </w:rPr>
        <w:t xml:space="preserve">Il Direttore della Cancelleria </w:t>
      </w:r>
    </w:p>
    <w:p w:rsidR="00592B61" w:rsidRPr="00592B61" w:rsidRDefault="00592B61" w:rsidP="00592B61">
      <w:pPr>
        <w:spacing w:before="100" w:beforeAutospacing="1" w:after="100" w:afterAutospacing="1" w:line="240" w:lineRule="auto"/>
        <w:rPr>
          <w:rFonts w:ascii="Times New Roman" w:eastAsia="Times New Roman" w:hAnsi="Times New Roman" w:cs="Times New Roman"/>
          <w:sz w:val="24"/>
          <w:szCs w:val="24"/>
          <w:lang w:eastAsia="it-IT"/>
        </w:rPr>
      </w:pPr>
      <w:r w:rsidRPr="00592B61">
        <w:rPr>
          <w:rFonts w:ascii="Times New Roman" w:eastAsia="Times New Roman" w:hAnsi="Times New Roman" w:cs="Times New Roman"/>
          <w:sz w:val="24"/>
          <w:szCs w:val="24"/>
          <w:lang w:eastAsia="it-IT"/>
        </w:rPr>
        <w:t xml:space="preserve">F.to: Roberto MILANA </w:t>
      </w:r>
    </w:p>
    <w:p w:rsidR="00B949B6" w:rsidRDefault="00B949B6"/>
    <w:sectPr w:rsidR="00B949B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B61"/>
    <w:rsid w:val="00592B61"/>
    <w:rsid w:val="00B949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592B61"/>
    <w:rPr>
      <w:b/>
      <w:bCs/>
    </w:rPr>
  </w:style>
  <w:style w:type="paragraph" w:styleId="NormaleWeb">
    <w:name w:val="Normal (Web)"/>
    <w:basedOn w:val="Normale"/>
    <w:uiPriority w:val="99"/>
    <w:semiHidden/>
    <w:unhideWhenUsed/>
    <w:rsid w:val="00592B61"/>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592B61"/>
    <w:rPr>
      <w:b/>
      <w:bCs/>
    </w:rPr>
  </w:style>
  <w:style w:type="paragraph" w:styleId="NormaleWeb">
    <w:name w:val="Normal (Web)"/>
    <w:basedOn w:val="Normale"/>
    <w:uiPriority w:val="99"/>
    <w:semiHidden/>
    <w:unhideWhenUsed/>
    <w:rsid w:val="00592B61"/>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041758">
      <w:bodyDiv w:val="1"/>
      <w:marLeft w:val="0"/>
      <w:marRight w:val="0"/>
      <w:marTop w:val="0"/>
      <w:marBottom w:val="0"/>
      <w:divBdr>
        <w:top w:val="none" w:sz="0" w:space="0" w:color="auto"/>
        <w:left w:val="none" w:sz="0" w:space="0" w:color="auto"/>
        <w:bottom w:val="none" w:sz="0" w:space="0" w:color="auto"/>
        <w:right w:val="none" w:sz="0" w:space="0" w:color="auto"/>
      </w:divBdr>
      <w:divsChild>
        <w:div w:id="449857388">
          <w:marLeft w:val="0"/>
          <w:marRight w:val="0"/>
          <w:marTop w:val="0"/>
          <w:marBottom w:val="0"/>
          <w:divBdr>
            <w:top w:val="none" w:sz="0" w:space="0" w:color="auto"/>
            <w:left w:val="none" w:sz="0" w:space="0" w:color="auto"/>
            <w:bottom w:val="none" w:sz="0" w:space="0" w:color="auto"/>
            <w:right w:val="none" w:sz="0" w:space="0" w:color="auto"/>
          </w:divBdr>
          <w:divsChild>
            <w:div w:id="1508786785">
              <w:marLeft w:val="0"/>
              <w:marRight w:val="0"/>
              <w:marTop w:val="0"/>
              <w:marBottom w:val="0"/>
              <w:divBdr>
                <w:top w:val="none" w:sz="0" w:space="0" w:color="auto"/>
                <w:left w:val="none" w:sz="0" w:space="0" w:color="auto"/>
                <w:bottom w:val="none" w:sz="0" w:space="0" w:color="auto"/>
                <w:right w:val="none" w:sz="0" w:space="0" w:color="auto"/>
              </w:divBdr>
              <w:divsChild>
                <w:div w:id="1134370040">
                  <w:marLeft w:val="0"/>
                  <w:marRight w:val="0"/>
                  <w:marTop w:val="0"/>
                  <w:marBottom w:val="0"/>
                  <w:divBdr>
                    <w:top w:val="none" w:sz="0" w:space="0" w:color="auto"/>
                    <w:left w:val="none" w:sz="0" w:space="0" w:color="auto"/>
                    <w:bottom w:val="none" w:sz="0" w:space="0" w:color="auto"/>
                    <w:right w:val="none" w:sz="0" w:space="0" w:color="auto"/>
                  </w:divBdr>
                  <w:divsChild>
                    <w:div w:id="16908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2872</Words>
  <Characters>16374</Characters>
  <Application>Microsoft Office Word</Application>
  <DocSecurity>0</DocSecurity>
  <Lines>136</Lines>
  <Paragraphs>38</Paragraphs>
  <ScaleCrop>false</ScaleCrop>
  <Company/>
  <LinksUpToDate>false</LinksUpToDate>
  <CharactersWithSpaces>19208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dc:creator>
  <cp:lastModifiedBy>Roby</cp:lastModifiedBy>
  <cp:revision>1</cp:revision>
  <dcterms:created xsi:type="dcterms:W3CDTF">2017-01-28T21:52:00Z</dcterms:created>
  <dcterms:modified xsi:type="dcterms:W3CDTF">2017-01-28T21:53:00Z</dcterms:modified>
</cp:coreProperties>
</file>